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81F8A" w14:textId="77777777" w:rsidR="00B25987" w:rsidRDefault="00B25987" w:rsidP="00B25987">
      <w:pPr>
        <w:pStyle w:val="NormalWeb"/>
      </w:pPr>
      <w:r>
        <w:t>03.11.2026</w:t>
      </w:r>
    </w:p>
    <w:p w14:paraId="1F9BFB9F" w14:textId="53AB2A07" w:rsidR="00B25987" w:rsidRDefault="00B25987" w:rsidP="00B25987">
      <w:pPr>
        <w:pStyle w:val="NormalWeb"/>
      </w:pPr>
      <w:r>
        <w:t xml:space="preserve">Supreme Court recently decided a case where IT did not serve scrutiny notice under Section 143/2 but took a stand that the </w:t>
      </w:r>
      <w:proofErr w:type="spellStart"/>
      <w:r>
        <w:t>assessee</w:t>
      </w:r>
      <w:proofErr w:type="spellEnd"/>
      <w:r>
        <w:t xml:space="preserve"> appeared in the proceedings. Hence the scrutiny notice was not necessary. But the Supreme Court rules that scrutiny notice 143/2 has a statutory purpose namely it gives an opportunity to the </w:t>
      </w:r>
      <w:proofErr w:type="spellStart"/>
      <w:r>
        <w:t>assessee</w:t>
      </w:r>
      <w:proofErr w:type="spellEnd"/>
      <w:r>
        <w:t xml:space="preserve"> to submit his say on the intended action. Hence on this ground SC in its 28th </w:t>
      </w:r>
      <w:proofErr w:type="gramStart"/>
      <w:r>
        <w:t>October,</w:t>
      </w:r>
      <w:proofErr w:type="gramEnd"/>
      <w:r>
        <w:t xml:space="preserve"> 2026 judgement </w:t>
      </w:r>
    </w:p>
    <w:p w14:paraId="3E10C034" w14:textId="77777777" w:rsidR="00B25987" w:rsidRDefault="00B25987" w:rsidP="00B25987">
      <w:pPr>
        <w:pStyle w:val="NormalWeb"/>
      </w:pPr>
      <w:r>
        <w:t xml:space="preserve">According to the Supreme Court, Section 292BB is a deeming provision. If an </w:t>
      </w:r>
      <w:proofErr w:type="spellStart"/>
      <w:r>
        <w:t>assessee</w:t>
      </w:r>
      <w:proofErr w:type="spellEnd"/>
      <w:r>
        <w:t xml:space="preserve"> cooperated with the proceedings, it precludes the </w:t>
      </w:r>
      <w:proofErr w:type="spellStart"/>
      <w:r>
        <w:t>assessee</w:t>
      </w:r>
      <w:proofErr w:type="spellEnd"/>
      <w:r>
        <w:t xml:space="preserve"> from making objections regarding the service of the notice. </w:t>
      </w:r>
      <w:proofErr w:type="gramStart"/>
      <w:r>
        <w:t>However</w:t>
      </w:r>
      <w:proofErr w:type="gramEnd"/>
      <w:r>
        <w:t xml:space="preserve"> such provision has effect only when a notice is issued by the revenue.</w:t>
      </w:r>
    </w:p>
    <w:p w14:paraId="23AA62A2" w14:textId="77777777" w:rsidR="00B25987" w:rsidRDefault="00B25987" w:rsidP="00B25987">
      <w:pPr>
        <w:pStyle w:val="NormalWeb"/>
      </w:pPr>
      <w:r>
        <w:t xml:space="preserve">In present case, the apex court noted that no notice was served to the </w:t>
      </w:r>
      <w:proofErr w:type="spellStart"/>
      <w:r>
        <w:t>assessee</w:t>
      </w:r>
      <w:proofErr w:type="spellEnd"/>
      <w:r>
        <w:t>, thus, Section 292BB has no place.</w:t>
      </w:r>
    </w:p>
    <w:p w14:paraId="5A96AF3A" w14:textId="77777777" w:rsidR="00B25987" w:rsidRDefault="00B25987" w:rsidP="00B25987">
      <w:pPr>
        <w:pStyle w:val="NormalWeb"/>
      </w:pPr>
      <w:r>
        <w:t xml:space="preserve">Regarding the issue of service of notice under Section 143(2), when the </w:t>
      </w:r>
      <w:proofErr w:type="spellStart"/>
      <w:r>
        <w:t>assessee</w:t>
      </w:r>
      <w:proofErr w:type="spellEnd"/>
      <w:r>
        <w:t xml:space="preserve"> asked to treat the original ITR as return under Section 148, the bench said such request does not absolve the revenue from issuing such notice. The revenue </w:t>
      </w:r>
      <w:proofErr w:type="gramStart"/>
      <w:r>
        <w:t>has to</w:t>
      </w:r>
      <w:proofErr w:type="gramEnd"/>
      <w:r>
        <w:t xml:space="preserve"> issue notice directing the </w:t>
      </w:r>
      <w:proofErr w:type="spellStart"/>
      <w:r>
        <w:t>assessee</w:t>
      </w:r>
      <w:proofErr w:type="spellEnd"/>
      <w:r>
        <w:t xml:space="preserve"> to produce evidence.</w:t>
      </w:r>
    </w:p>
    <w:p w14:paraId="61CD1DC2" w14:textId="77777777" w:rsidR="00B25987" w:rsidRDefault="00B25987" w:rsidP="00B25987">
      <w:pPr>
        <w:pStyle w:val="NormalWeb"/>
      </w:pPr>
      <w:r>
        <w:t>The assessment must be framed after issuance of such notice and providing hearing, which is clearly missing in this case. Accordingly, the court dismissed the appeal of the income tax department.</w:t>
      </w:r>
    </w:p>
    <w:p w14:paraId="48A5CCB8" w14:textId="3560BCB2" w:rsidR="00B25987" w:rsidRDefault="00B25987" w:rsidP="00B25987">
      <w:pPr>
        <w:pStyle w:val="NormalWeb"/>
      </w:pPr>
      <w:hyperlink r:id="rId4" w:history="1">
        <w:r w:rsidRPr="005956C4">
          <w:rPr>
            <w:rStyle w:val="Hyperlink"/>
          </w:rPr>
          <w:t>https://www.taxscan.in/income-tax/income-tax-dept-must-serve-notice-us-1432-even-if-original-itr-requested-to-be-treated-as-return-us-148-supreme-court-read-judgment</w:t>
        </w:r>
      </w:hyperlink>
    </w:p>
    <w:p w14:paraId="509894E9" w14:textId="695962FB" w:rsidR="00F779B5" w:rsidRDefault="00B25987">
      <w:r>
        <w:t xml:space="preserve">-------------- </w:t>
      </w:r>
    </w:p>
    <w:sectPr w:rsidR="00F779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NxeOcjqv9jKcGb6W0mYt8XRW9W1lefpwSdSxWIrNWiYG2Fzi0xiy6PdAgFWY94ifHH8XNRWZY2eqtSR2ZBf3PQ==" w:salt="i77cCkOFf0pZNeIr6agfc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987"/>
    <w:rsid w:val="00A2136D"/>
    <w:rsid w:val="00B25987"/>
    <w:rsid w:val="00F05DC9"/>
    <w:rsid w:val="00F779B5"/>
    <w:rsid w:val="00FA65AF"/>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decimalSymbol w:val="."/>
  <w:listSeparator w:val=","/>
  <w14:docId w14:val="74AAEE28"/>
  <w15:chartTrackingRefBased/>
  <w15:docId w15:val="{8BD0777B-D3D1-427C-A85A-52CB3A117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59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59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59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59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59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59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9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9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9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59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59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59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59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59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59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59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59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5987"/>
    <w:rPr>
      <w:rFonts w:eastAsiaTheme="majorEastAsia" w:cstheme="majorBidi"/>
      <w:color w:val="272727" w:themeColor="text1" w:themeTint="D8"/>
    </w:rPr>
  </w:style>
  <w:style w:type="paragraph" w:styleId="Title">
    <w:name w:val="Title"/>
    <w:basedOn w:val="Normal"/>
    <w:next w:val="Normal"/>
    <w:link w:val="TitleChar"/>
    <w:uiPriority w:val="10"/>
    <w:qFormat/>
    <w:rsid w:val="00B259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9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59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9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987"/>
    <w:pPr>
      <w:spacing w:before="160"/>
      <w:jc w:val="center"/>
    </w:pPr>
    <w:rPr>
      <w:i/>
      <w:iCs/>
      <w:color w:val="404040" w:themeColor="text1" w:themeTint="BF"/>
    </w:rPr>
  </w:style>
  <w:style w:type="character" w:customStyle="1" w:styleId="QuoteChar">
    <w:name w:val="Quote Char"/>
    <w:basedOn w:val="DefaultParagraphFont"/>
    <w:link w:val="Quote"/>
    <w:uiPriority w:val="29"/>
    <w:rsid w:val="00B25987"/>
    <w:rPr>
      <w:i/>
      <w:iCs/>
      <w:color w:val="404040" w:themeColor="text1" w:themeTint="BF"/>
    </w:rPr>
  </w:style>
  <w:style w:type="paragraph" w:styleId="ListParagraph">
    <w:name w:val="List Paragraph"/>
    <w:basedOn w:val="Normal"/>
    <w:uiPriority w:val="34"/>
    <w:qFormat/>
    <w:rsid w:val="00B25987"/>
    <w:pPr>
      <w:ind w:left="720"/>
      <w:contextualSpacing/>
    </w:pPr>
  </w:style>
  <w:style w:type="character" w:styleId="IntenseEmphasis">
    <w:name w:val="Intense Emphasis"/>
    <w:basedOn w:val="DefaultParagraphFont"/>
    <w:uiPriority w:val="21"/>
    <w:qFormat/>
    <w:rsid w:val="00B25987"/>
    <w:rPr>
      <w:i/>
      <w:iCs/>
      <w:color w:val="0F4761" w:themeColor="accent1" w:themeShade="BF"/>
    </w:rPr>
  </w:style>
  <w:style w:type="paragraph" w:styleId="IntenseQuote">
    <w:name w:val="Intense Quote"/>
    <w:basedOn w:val="Normal"/>
    <w:next w:val="Normal"/>
    <w:link w:val="IntenseQuoteChar"/>
    <w:uiPriority w:val="30"/>
    <w:qFormat/>
    <w:rsid w:val="00B259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5987"/>
    <w:rPr>
      <w:i/>
      <w:iCs/>
      <w:color w:val="0F4761" w:themeColor="accent1" w:themeShade="BF"/>
    </w:rPr>
  </w:style>
  <w:style w:type="character" w:styleId="IntenseReference">
    <w:name w:val="Intense Reference"/>
    <w:basedOn w:val="DefaultParagraphFont"/>
    <w:uiPriority w:val="32"/>
    <w:qFormat/>
    <w:rsid w:val="00B25987"/>
    <w:rPr>
      <w:b/>
      <w:bCs/>
      <w:smallCaps/>
      <w:color w:val="0F4761" w:themeColor="accent1" w:themeShade="BF"/>
      <w:spacing w:val="5"/>
    </w:rPr>
  </w:style>
  <w:style w:type="paragraph" w:styleId="NormalWeb">
    <w:name w:val="Normal (Web)"/>
    <w:basedOn w:val="Normal"/>
    <w:uiPriority w:val="99"/>
    <w:semiHidden/>
    <w:unhideWhenUsed/>
    <w:rsid w:val="00B25987"/>
    <w:pPr>
      <w:spacing w:before="100" w:beforeAutospacing="1" w:after="100" w:afterAutospacing="1" w:line="240" w:lineRule="auto"/>
    </w:pPr>
    <w:rPr>
      <w:rFonts w:ascii="Times New Roman" w:eastAsia="Times New Roman" w:hAnsi="Times New Roman" w:cs="Times New Roman"/>
      <w:sz w:val="24"/>
      <w:szCs w:val="24"/>
      <w:lang w:eastAsia="en-IN" w:bidi="mr-IN"/>
    </w:rPr>
  </w:style>
  <w:style w:type="character" w:styleId="Hyperlink">
    <w:name w:val="Hyperlink"/>
    <w:basedOn w:val="DefaultParagraphFont"/>
    <w:uiPriority w:val="99"/>
    <w:unhideWhenUsed/>
    <w:rsid w:val="00B25987"/>
    <w:rPr>
      <w:color w:val="467886" w:themeColor="hyperlink"/>
      <w:u w:val="single"/>
    </w:rPr>
  </w:style>
  <w:style w:type="character" w:styleId="UnresolvedMention">
    <w:name w:val="Unresolved Mention"/>
    <w:basedOn w:val="DefaultParagraphFont"/>
    <w:uiPriority w:val="99"/>
    <w:semiHidden/>
    <w:unhideWhenUsed/>
    <w:rsid w:val="00B259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axscan.in/income-tax/income-tax-dept-must-serve-notice-us-1432-even-if-original-itr-requested-to-be-treated-as-return-us-148-supreme-court-read-judg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254</Words>
  <Characters>1449</Characters>
  <Application>Microsoft Office Word</Application>
  <DocSecurity>8</DocSecurity>
  <Lines>12</Lines>
  <Paragraphs>3</Paragraphs>
  <ScaleCrop>false</ScaleCrop>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 Tikotekar</dc:creator>
  <cp:keywords/>
  <dc:description/>
  <cp:lastModifiedBy>Anil Tikotekar</cp:lastModifiedBy>
  <cp:revision>1</cp:revision>
  <dcterms:created xsi:type="dcterms:W3CDTF">2026-11-03T09:12:00Z</dcterms:created>
  <dcterms:modified xsi:type="dcterms:W3CDTF">2026-11-03T09:16:00Z</dcterms:modified>
</cp:coreProperties>
</file>