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B2E82" w14:textId="77777777" w:rsidR="003E01AA" w:rsidRDefault="003E01AA" w:rsidP="003E01AA">
      <w:pPr>
        <w:spacing w:after="0" w:line="240" w:lineRule="auto"/>
        <w:rPr>
          <w:rFonts w:ascii="Times New Roman" w:eastAsia="Times New Roman" w:hAnsi="Times New Roman" w:cs="Times New Roman"/>
          <w:sz w:val="24"/>
          <w:szCs w:val="24"/>
          <w:lang w:eastAsia="en-IN" w:bidi="mr-IN"/>
        </w:rPr>
      </w:pPr>
      <w:r w:rsidRPr="003E01AA">
        <w:rPr>
          <w:rFonts w:ascii="Times New Roman" w:eastAsia="Times New Roman" w:hAnsi="Times New Roman" w:cs="Times New Roman"/>
          <w:sz w:val="24"/>
          <w:szCs w:val="24"/>
          <w:lang w:eastAsia="en-IN" w:bidi="mr-IN"/>
        </w:rPr>
        <w:fldChar w:fldCharType="begin"/>
      </w:r>
      <w:r w:rsidRPr="003E01AA">
        <w:rPr>
          <w:rFonts w:ascii="Times New Roman" w:eastAsia="Times New Roman" w:hAnsi="Times New Roman" w:cs="Times New Roman"/>
          <w:sz w:val="24"/>
          <w:szCs w:val="24"/>
          <w:lang w:eastAsia="en-IN" w:bidi="mr-IN"/>
        </w:rPr>
        <w:instrText>HYPERLINK "https://taxguru.in/corporate-law/reassessment-initiated-assessees-death-continue-against-legal-heir-delhi-hc.html"</w:instrText>
      </w:r>
      <w:r w:rsidRPr="003E01AA">
        <w:rPr>
          <w:rFonts w:ascii="Times New Roman" w:eastAsia="Times New Roman" w:hAnsi="Times New Roman" w:cs="Times New Roman"/>
          <w:sz w:val="24"/>
          <w:szCs w:val="24"/>
          <w:lang w:eastAsia="en-IN" w:bidi="mr-IN"/>
        </w:rPr>
      </w:r>
      <w:r w:rsidRPr="003E01AA">
        <w:rPr>
          <w:rFonts w:ascii="Times New Roman" w:eastAsia="Times New Roman" w:hAnsi="Times New Roman" w:cs="Times New Roman"/>
          <w:sz w:val="24"/>
          <w:szCs w:val="24"/>
          <w:lang w:eastAsia="en-IN" w:bidi="mr-IN"/>
        </w:rPr>
        <w:fldChar w:fldCharType="separate"/>
      </w:r>
      <w:r w:rsidRPr="003E01AA">
        <w:rPr>
          <w:rFonts w:ascii="Poppins" w:eastAsia="Times New Roman" w:hAnsi="Poppins" w:cs="Poppins"/>
          <w:color w:val="0000FF"/>
          <w:sz w:val="23"/>
          <w:szCs w:val="23"/>
          <w:shd w:val="clear" w:color="auto" w:fill="FFFFFF"/>
          <w:lang w:eastAsia="en-IN" w:bidi="mr-IN"/>
        </w:rPr>
        <w:t xml:space="preserve">Reassessment Initiated Before </w:t>
      </w:r>
      <w:proofErr w:type="spellStart"/>
      <w:r w:rsidRPr="003E01AA">
        <w:rPr>
          <w:rFonts w:ascii="Poppins" w:eastAsia="Times New Roman" w:hAnsi="Poppins" w:cs="Poppins"/>
          <w:color w:val="0000FF"/>
          <w:sz w:val="23"/>
          <w:szCs w:val="23"/>
          <w:shd w:val="clear" w:color="auto" w:fill="FFFFFF"/>
          <w:lang w:eastAsia="en-IN" w:bidi="mr-IN"/>
        </w:rPr>
        <w:t>Assessee’s</w:t>
      </w:r>
      <w:proofErr w:type="spellEnd"/>
      <w:r w:rsidRPr="003E01AA">
        <w:rPr>
          <w:rFonts w:ascii="Poppins" w:eastAsia="Times New Roman" w:hAnsi="Poppins" w:cs="Poppins"/>
          <w:color w:val="0000FF"/>
          <w:sz w:val="23"/>
          <w:szCs w:val="23"/>
          <w:shd w:val="clear" w:color="auto" w:fill="FFFFFF"/>
          <w:lang w:eastAsia="en-IN" w:bidi="mr-IN"/>
        </w:rPr>
        <w:t xml:space="preserve"> Death Can Continue Against Legal Heir: Delhi HC</w:t>
      </w:r>
      <w:r w:rsidRPr="003E01AA">
        <w:rPr>
          <w:rFonts w:ascii="Times New Roman" w:eastAsia="Times New Roman" w:hAnsi="Times New Roman" w:cs="Times New Roman"/>
          <w:sz w:val="24"/>
          <w:szCs w:val="24"/>
          <w:lang w:eastAsia="en-IN" w:bidi="mr-IN"/>
        </w:rPr>
        <w:fldChar w:fldCharType="end"/>
      </w:r>
    </w:p>
    <w:p w14:paraId="7F2A78F6" w14:textId="77777777" w:rsidR="003E01AA" w:rsidRPr="003E01AA" w:rsidRDefault="003E01AA" w:rsidP="003E01AA">
      <w:pPr>
        <w:spacing w:after="0" w:line="240" w:lineRule="auto"/>
        <w:rPr>
          <w:rFonts w:ascii="Times New Roman" w:eastAsia="Times New Roman" w:hAnsi="Times New Roman" w:cs="Times New Roman"/>
          <w:sz w:val="24"/>
          <w:szCs w:val="24"/>
          <w:lang w:eastAsia="en-IN" w:bidi="mr-IN"/>
        </w:rPr>
      </w:pPr>
    </w:p>
    <w:p w14:paraId="378406CC" w14:textId="5755831F" w:rsidR="003E01AA" w:rsidRPr="003E01AA" w:rsidRDefault="003E01AA" w:rsidP="003E01AA">
      <w:pPr>
        <w:shd w:val="clear" w:color="auto" w:fill="FFFFFF"/>
        <w:spacing w:after="0" w:line="240" w:lineRule="auto"/>
        <w:rPr>
          <w:rFonts w:ascii="Poppins" w:eastAsia="Times New Roman" w:hAnsi="Poppins" w:cs="Poppins"/>
          <w:color w:val="3F4754"/>
          <w:sz w:val="23"/>
          <w:szCs w:val="23"/>
          <w:lang w:eastAsia="en-IN" w:bidi="mr-IN"/>
        </w:rPr>
      </w:pPr>
      <w:hyperlink r:id="rId5" w:history="1">
        <w:r w:rsidRPr="003E01AA">
          <w:rPr>
            <w:rFonts w:ascii="Poppins" w:eastAsia="Times New Roman" w:hAnsi="Poppins" w:cs="Poppins"/>
            <w:color w:val="0000FF"/>
            <w:sz w:val="23"/>
            <w:szCs w:val="23"/>
            <w:lang w:eastAsia="en-IN" w:bidi="mr-IN"/>
          </w:rPr>
          <w:t>https://taxguru.in/corporate-law/reassessment-initiated-assessees-death-continue-against-legal-heir-delhi-hc.html</w:t>
        </w:r>
      </w:hyperlink>
    </w:p>
    <w:p w14:paraId="5F058438" w14:textId="77777777" w:rsidR="003E01AA" w:rsidRPr="003E01AA" w:rsidRDefault="003E01AA" w:rsidP="003E01AA">
      <w:pPr>
        <w:shd w:val="clear" w:color="auto" w:fill="FFFFFF"/>
        <w:spacing w:after="0" w:line="240" w:lineRule="auto"/>
        <w:rPr>
          <w:rFonts w:ascii="Poppins" w:eastAsia="Times New Roman" w:hAnsi="Poppins" w:cs="Poppins"/>
          <w:color w:val="3F4754"/>
          <w:sz w:val="23"/>
          <w:szCs w:val="23"/>
          <w:lang w:eastAsia="en-IN" w:bidi="mr-IN"/>
        </w:rPr>
      </w:pPr>
      <w:r w:rsidRPr="003E01AA">
        <w:rPr>
          <w:rFonts w:ascii="Poppins" w:eastAsia="Times New Roman" w:hAnsi="Poppins" w:cs="Poppins"/>
          <w:color w:val="3F4754"/>
          <w:sz w:val="23"/>
          <w:szCs w:val="23"/>
          <w:lang w:eastAsia="en-IN" w:bidi="mr-IN"/>
        </w:rPr>
        <w:t>Copyright © Taxguru.in</w:t>
      </w:r>
    </w:p>
    <w:p w14:paraId="5E8E5AC5" w14:textId="0E055443"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b/>
          <w:bCs/>
          <w:color w:val="1A1A1A"/>
          <w:sz w:val="24"/>
          <w:szCs w:val="24"/>
          <w:lang w:eastAsia="en-IN" w:bidi="mr-IN"/>
        </w:rPr>
        <w:t>Summary:</w:t>
      </w:r>
      <w:r w:rsidRPr="003E01AA">
        <w:rPr>
          <w:rFonts w:ascii="Verdana" w:eastAsia="Times New Roman" w:hAnsi="Verdana" w:cs="Times New Roman"/>
          <w:color w:val="1A1A1A"/>
          <w:sz w:val="24"/>
          <w:szCs w:val="24"/>
          <w:lang w:eastAsia="en-IN" w:bidi="mr-IN"/>
        </w:rPr>
        <w:t xml:space="preserve"> The Delhi High Court, in the case of </w:t>
      </w:r>
      <w:r w:rsidRPr="003E01AA">
        <w:rPr>
          <w:rFonts w:ascii="Verdana" w:eastAsia="Times New Roman" w:hAnsi="Verdana" w:cs="Times New Roman"/>
          <w:b/>
          <w:bCs/>
          <w:color w:val="1A1A1A"/>
          <w:sz w:val="24"/>
          <w:szCs w:val="24"/>
          <w:lang w:eastAsia="en-IN" w:bidi="mr-IN"/>
        </w:rPr>
        <w:t>Vijaya Garg Through Legal Heir Amit Garg Vs ITO</w:t>
      </w:r>
      <w:r w:rsidRPr="003E01AA">
        <w:rPr>
          <w:rFonts w:ascii="Verdana" w:eastAsia="Times New Roman" w:hAnsi="Verdana" w:cs="Times New Roman"/>
          <w:color w:val="1A1A1A"/>
          <w:sz w:val="24"/>
          <w:szCs w:val="24"/>
          <w:lang w:eastAsia="en-IN" w:bidi="mr-IN"/>
        </w:rPr>
        <w:t xml:space="preserve">, held that reassessment proceedings validly initiated during an </w:t>
      </w:r>
      <w:proofErr w:type="spellStart"/>
      <w:r w:rsidRPr="003E01AA">
        <w:rPr>
          <w:rFonts w:ascii="Verdana" w:eastAsia="Times New Roman" w:hAnsi="Verdana" w:cs="Times New Roman"/>
          <w:color w:val="1A1A1A"/>
          <w:sz w:val="24"/>
          <w:szCs w:val="24"/>
          <w:lang w:eastAsia="en-IN" w:bidi="mr-IN"/>
        </w:rPr>
        <w:t>assessee’s</w:t>
      </w:r>
      <w:proofErr w:type="spellEnd"/>
      <w:r w:rsidRPr="003E01AA">
        <w:rPr>
          <w:rFonts w:ascii="Verdana" w:eastAsia="Times New Roman" w:hAnsi="Verdana" w:cs="Times New Roman"/>
          <w:color w:val="1A1A1A"/>
          <w:sz w:val="24"/>
          <w:szCs w:val="24"/>
          <w:lang w:eastAsia="en-IN" w:bidi="mr-IN"/>
        </w:rPr>
        <w:t xml:space="preserve"> lifetime can be continued against the legal representative after the </w:t>
      </w:r>
      <w:proofErr w:type="spellStart"/>
      <w:r w:rsidRPr="003E01AA">
        <w:rPr>
          <w:rFonts w:ascii="Verdana" w:eastAsia="Times New Roman" w:hAnsi="Verdana" w:cs="Times New Roman"/>
          <w:color w:val="1A1A1A"/>
          <w:sz w:val="24"/>
          <w:szCs w:val="24"/>
          <w:lang w:eastAsia="en-IN" w:bidi="mr-IN"/>
        </w:rPr>
        <w:t>assessee’s</w:t>
      </w:r>
      <w:proofErr w:type="spellEnd"/>
      <w:r w:rsidRPr="003E01AA">
        <w:rPr>
          <w:rFonts w:ascii="Verdana" w:eastAsia="Times New Roman" w:hAnsi="Verdana" w:cs="Times New Roman"/>
          <w:color w:val="1A1A1A"/>
          <w:sz w:val="24"/>
          <w:szCs w:val="24"/>
          <w:lang w:eastAsia="en-IN" w:bidi="mr-IN"/>
        </w:rPr>
        <w:t xml:space="preserve"> death in accordance with </w:t>
      </w:r>
      <w:r w:rsidRPr="003E01AA">
        <w:rPr>
          <w:rFonts w:ascii="Verdana" w:eastAsia="Times New Roman" w:hAnsi="Verdana" w:cs="Times New Roman"/>
          <w:b/>
          <w:bCs/>
          <w:color w:val="1A1A1A"/>
          <w:sz w:val="24"/>
          <w:szCs w:val="24"/>
          <w:lang w:eastAsia="en-IN" w:bidi="mr-IN"/>
        </w:rPr>
        <w:t>Section 159 of the Income Tax Act, 1961</w:t>
      </w:r>
      <w:r w:rsidRPr="003E01AA">
        <w:rPr>
          <w:rFonts w:ascii="Verdana" w:eastAsia="Times New Roman" w:hAnsi="Verdana" w:cs="Times New Roman"/>
          <w:color w:val="1A1A1A"/>
          <w:sz w:val="24"/>
          <w:szCs w:val="24"/>
          <w:lang w:eastAsia="en-IN" w:bidi="mr-IN"/>
        </w:rPr>
        <w:t xml:space="preserve">. The Court rejected the contention that the subsequent notice issued under Section 148A(b) in the name of the deceased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automatically rendered the entire proceedings void. The decisive consideration was that the original reassessment notice had been issued on 25 April 2021, when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was alive, and that the subsequent proceedings represented a continuation of those already initiated.</w:t>
      </w:r>
    </w:p>
    <w:p w14:paraId="163D14A1"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The dispute concerned </w:t>
      </w:r>
      <w:r w:rsidRPr="003E01AA">
        <w:rPr>
          <w:rFonts w:ascii="Verdana" w:eastAsia="Times New Roman" w:hAnsi="Verdana" w:cs="Times New Roman"/>
          <w:b/>
          <w:bCs/>
          <w:color w:val="1A1A1A"/>
          <w:sz w:val="24"/>
          <w:szCs w:val="24"/>
          <w:lang w:eastAsia="en-IN" w:bidi="mr-IN"/>
        </w:rPr>
        <w:t>Assessment Year 2015-16</w:t>
      </w:r>
      <w:r w:rsidRPr="003E01AA">
        <w:rPr>
          <w:rFonts w:ascii="Verdana" w:eastAsia="Times New Roman" w:hAnsi="Verdana" w:cs="Times New Roman"/>
          <w:color w:val="1A1A1A"/>
          <w:sz w:val="24"/>
          <w:szCs w:val="24"/>
          <w:lang w:eastAsia="en-IN" w:bidi="mr-IN"/>
        </w:rPr>
        <w:t xml:space="preserve">. The deceased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Smt. Vijaya Garg, had filed her return of income on 28 September 2015 declaring total income of </w:t>
      </w:r>
      <w:r w:rsidRPr="003E01AA">
        <w:rPr>
          <w:rFonts w:ascii="Verdana" w:eastAsia="Times New Roman" w:hAnsi="Verdana" w:cs="Times New Roman"/>
          <w:b/>
          <w:bCs/>
          <w:color w:val="1A1A1A"/>
          <w:sz w:val="24"/>
          <w:szCs w:val="24"/>
          <w:lang w:eastAsia="en-IN" w:bidi="mr-IN"/>
        </w:rPr>
        <w:t>Rs. 10,00,960</w:t>
      </w:r>
      <w:r w:rsidRPr="003E01AA">
        <w:rPr>
          <w:rFonts w:ascii="Verdana" w:eastAsia="Times New Roman" w:hAnsi="Verdana" w:cs="Times New Roman"/>
          <w:color w:val="1A1A1A"/>
          <w:sz w:val="24"/>
          <w:szCs w:val="24"/>
          <w:lang w:eastAsia="en-IN" w:bidi="mr-IN"/>
        </w:rPr>
        <w:t xml:space="preserve">. Her case was selected for limited scrutiny, and the returned income was accepted through an assessment order dated 11 May 2017 under Section 143(3). Subsequently, the Assessing Officer issued a reassessment notice on 25 April 2021 under the erstwhile Section 148, alleging escapement of income.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died on 24 June 2021 during the COVID-19 period. Her legal heir, Amit Garg, challenged the notice before the Delhi High Court, which quashed it on 23 March 2022 following </w:t>
      </w:r>
      <w:r w:rsidRPr="003E01AA">
        <w:rPr>
          <w:rFonts w:ascii="Verdana" w:eastAsia="Times New Roman" w:hAnsi="Verdana" w:cs="Times New Roman"/>
          <w:b/>
          <w:bCs/>
          <w:color w:val="1A1A1A"/>
          <w:sz w:val="24"/>
          <w:szCs w:val="24"/>
          <w:lang w:eastAsia="en-IN" w:bidi="mr-IN"/>
        </w:rPr>
        <w:t xml:space="preserve">Mon Mohan Kohli v. Assistant Commissioner of Income Tax &amp; </w:t>
      </w:r>
      <w:proofErr w:type="spellStart"/>
      <w:r w:rsidRPr="003E01AA">
        <w:rPr>
          <w:rFonts w:ascii="Verdana" w:eastAsia="Times New Roman" w:hAnsi="Verdana" w:cs="Times New Roman"/>
          <w:b/>
          <w:bCs/>
          <w:color w:val="1A1A1A"/>
          <w:sz w:val="24"/>
          <w:szCs w:val="24"/>
          <w:lang w:eastAsia="en-IN" w:bidi="mr-IN"/>
        </w:rPr>
        <w:t>Anr</w:t>
      </w:r>
      <w:proofErr w:type="spellEnd"/>
      <w:r w:rsidRPr="003E01AA">
        <w:rPr>
          <w:rFonts w:ascii="Verdana" w:eastAsia="Times New Roman" w:hAnsi="Verdana" w:cs="Times New Roman"/>
          <w:b/>
          <w:bCs/>
          <w:color w:val="1A1A1A"/>
          <w:sz w:val="24"/>
          <w:szCs w:val="24"/>
          <w:lang w:eastAsia="en-IN" w:bidi="mr-IN"/>
        </w:rPr>
        <w:t xml:space="preserve">., 2021 SCC </w:t>
      </w:r>
      <w:proofErr w:type="spellStart"/>
      <w:r w:rsidRPr="003E01AA">
        <w:rPr>
          <w:rFonts w:ascii="Verdana" w:eastAsia="Times New Roman" w:hAnsi="Verdana" w:cs="Times New Roman"/>
          <w:b/>
          <w:bCs/>
          <w:color w:val="1A1A1A"/>
          <w:sz w:val="24"/>
          <w:szCs w:val="24"/>
          <w:lang w:eastAsia="en-IN" w:bidi="mr-IN"/>
        </w:rPr>
        <w:t>OnLine</w:t>
      </w:r>
      <w:proofErr w:type="spellEnd"/>
      <w:r w:rsidRPr="003E01AA">
        <w:rPr>
          <w:rFonts w:ascii="Verdana" w:eastAsia="Times New Roman" w:hAnsi="Verdana" w:cs="Times New Roman"/>
          <w:b/>
          <w:bCs/>
          <w:color w:val="1A1A1A"/>
          <w:sz w:val="24"/>
          <w:szCs w:val="24"/>
          <w:lang w:eastAsia="en-IN" w:bidi="mr-IN"/>
        </w:rPr>
        <w:t xml:space="preserve"> Del 5250</w:t>
      </w:r>
      <w:r w:rsidRPr="003E01AA">
        <w:rPr>
          <w:rFonts w:ascii="Verdana" w:eastAsia="Times New Roman" w:hAnsi="Verdana" w:cs="Times New Roman"/>
          <w:color w:val="1A1A1A"/>
          <w:sz w:val="24"/>
          <w:szCs w:val="24"/>
          <w:lang w:eastAsia="en-IN" w:bidi="mr-IN"/>
        </w:rPr>
        <w:t>.</w:t>
      </w:r>
    </w:p>
    <w:p w14:paraId="404D2EE4"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Thereafter, pursuant to the Supreme Court’s decision in </w:t>
      </w:r>
      <w:r w:rsidRPr="003E01AA">
        <w:rPr>
          <w:rFonts w:ascii="Verdana" w:eastAsia="Times New Roman" w:hAnsi="Verdana" w:cs="Times New Roman"/>
          <w:b/>
          <w:bCs/>
          <w:color w:val="1A1A1A"/>
          <w:sz w:val="24"/>
          <w:szCs w:val="24"/>
          <w:lang w:eastAsia="en-IN" w:bidi="mr-IN"/>
        </w:rPr>
        <w:t xml:space="preserve">Union of India v. Ashish Agarwal, (2022) SCC </w:t>
      </w:r>
      <w:proofErr w:type="spellStart"/>
      <w:r w:rsidRPr="003E01AA">
        <w:rPr>
          <w:rFonts w:ascii="Verdana" w:eastAsia="Times New Roman" w:hAnsi="Verdana" w:cs="Times New Roman"/>
          <w:b/>
          <w:bCs/>
          <w:color w:val="1A1A1A"/>
          <w:sz w:val="24"/>
          <w:szCs w:val="24"/>
          <w:lang w:eastAsia="en-IN" w:bidi="mr-IN"/>
        </w:rPr>
        <w:t>OnLine</w:t>
      </w:r>
      <w:proofErr w:type="spellEnd"/>
      <w:r w:rsidRPr="003E01AA">
        <w:rPr>
          <w:rFonts w:ascii="Verdana" w:eastAsia="Times New Roman" w:hAnsi="Verdana" w:cs="Times New Roman"/>
          <w:b/>
          <w:bCs/>
          <w:color w:val="1A1A1A"/>
          <w:sz w:val="24"/>
          <w:szCs w:val="24"/>
          <w:lang w:eastAsia="en-IN" w:bidi="mr-IN"/>
        </w:rPr>
        <w:t xml:space="preserve"> SC 543</w:t>
      </w:r>
      <w:r w:rsidRPr="003E01AA">
        <w:rPr>
          <w:rFonts w:ascii="Verdana" w:eastAsia="Times New Roman" w:hAnsi="Verdana" w:cs="Times New Roman"/>
          <w:color w:val="1A1A1A"/>
          <w:sz w:val="24"/>
          <w:szCs w:val="24"/>
          <w:lang w:eastAsia="en-IN" w:bidi="mr-IN"/>
        </w:rPr>
        <w:t xml:space="preserve">, the Revenue treated the original notice issued under the erstwhile Section 148 as a show-cause notice under Section 148A(b). The Assessing Officer furnished information through a notice dated 1 June 2022. The legal heir informed the Department that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had already died and contended that proceedings against a deceased person were legally unsustainable. Nevertheless, the Assessing Officer passed an order dated 28 July 2022 under Section 148A(d), describing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as </w:t>
      </w:r>
      <w:r w:rsidRPr="003E01AA">
        <w:rPr>
          <w:rFonts w:ascii="Verdana" w:eastAsia="Times New Roman" w:hAnsi="Verdana" w:cs="Times New Roman"/>
          <w:b/>
          <w:bCs/>
          <w:color w:val="1A1A1A"/>
          <w:sz w:val="24"/>
          <w:szCs w:val="24"/>
          <w:lang w:eastAsia="en-IN" w:bidi="mr-IN"/>
        </w:rPr>
        <w:t>“Vijaya Garg through Legal Heir Sh. Amit Garg”</w:t>
      </w:r>
      <w:r w:rsidRPr="003E01AA">
        <w:rPr>
          <w:rFonts w:ascii="Verdana" w:eastAsia="Times New Roman" w:hAnsi="Verdana" w:cs="Times New Roman"/>
          <w:color w:val="1A1A1A"/>
          <w:sz w:val="24"/>
          <w:szCs w:val="24"/>
          <w:lang w:eastAsia="en-IN" w:bidi="mr-IN"/>
        </w:rPr>
        <w:t>, and subsequently issued a notice dated 29 July 2022 under Section 148 in the same description.</w:t>
      </w:r>
    </w:p>
    <w:p w14:paraId="6C0CC8D4"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The petitioner challenged these proceedings on the ground that the notice dated 1 June 2022 was addressed to a deceased person. It was argued that issuing a valid notice to the correct living person was a mandatory </w:t>
      </w:r>
      <w:r w:rsidRPr="003E01AA">
        <w:rPr>
          <w:rFonts w:ascii="Verdana" w:eastAsia="Times New Roman" w:hAnsi="Verdana" w:cs="Times New Roman"/>
          <w:color w:val="1A1A1A"/>
          <w:sz w:val="24"/>
          <w:szCs w:val="24"/>
          <w:lang w:eastAsia="en-IN" w:bidi="mr-IN"/>
        </w:rPr>
        <w:lastRenderedPageBreak/>
        <w:t xml:space="preserve">jurisdictional requirement and that non-compliance rendered the proceedings void ab initio. Reliance was placed on </w:t>
      </w:r>
      <w:r w:rsidRPr="003E01AA">
        <w:rPr>
          <w:rFonts w:ascii="Verdana" w:eastAsia="Times New Roman" w:hAnsi="Verdana" w:cs="Times New Roman"/>
          <w:b/>
          <w:bCs/>
          <w:color w:val="1A1A1A"/>
          <w:sz w:val="24"/>
          <w:szCs w:val="24"/>
          <w:lang w:eastAsia="en-IN" w:bidi="mr-IN"/>
        </w:rPr>
        <w:t xml:space="preserve">Sangeeta </w:t>
      </w:r>
      <w:proofErr w:type="spellStart"/>
      <w:r w:rsidRPr="003E01AA">
        <w:rPr>
          <w:rFonts w:ascii="Verdana" w:eastAsia="Times New Roman" w:hAnsi="Verdana" w:cs="Times New Roman"/>
          <w:b/>
          <w:bCs/>
          <w:color w:val="1A1A1A"/>
          <w:sz w:val="24"/>
          <w:szCs w:val="24"/>
          <w:lang w:eastAsia="en-IN" w:bidi="mr-IN"/>
        </w:rPr>
        <w:t>Vig</w:t>
      </w:r>
      <w:proofErr w:type="spellEnd"/>
      <w:r w:rsidRPr="003E01AA">
        <w:rPr>
          <w:rFonts w:ascii="Verdana" w:eastAsia="Times New Roman" w:hAnsi="Verdana" w:cs="Times New Roman"/>
          <w:b/>
          <w:bCs/>
          <w:color w:val="1A1A1A"/>
          <w:sz w:val="24"/>
          <w:szCs w:val="24"/>
          <w:lang w:eastAsia="en-IN" w:bidi="mr-IN"/>
        </w:rPr>
        <w:t xml:space="preserve"> v. ITO, Ward 28(5), (2022) SCC </w:t>
      </w:r>
      <w:proofErr w:type="spellStart"/>
      <w:r w:rsidRPr="003E01AA">
        <w:rPr>
          <w:rFonts w:ascii="Verdana" w:eastAsia="Times New Roman" w:hAnsi="Verdana" w:cs="Times New Roman"/>
          <w:b/>
          <w:bCs/>
          <w:color w:val="1A1A1A"/>
          <w:sz w:val="24"/>
          <w:szCs w:val="24"/>
          <w:lang w:eastAsia="en-IN" w:bidi="mr-IN"/>
        </w:rPr>
        <w:t>OnLine</w:t>
      </w:r>
      <w:proofErr w:type="spellEnd"/>
      <w:r w:rsidRPr="003E01AA">
        <w:rPr>
          <w:rFonts w:ascii="Verdana" w:eastAsia="Times New Roman" w:hAnsi="Verdana" w:cs="Times New Roman"/>
          <w:b/>
          <w:bCs/>
          <w:color w:val="1A1A1A"/>
          <w:sz w:val="24"/>
          <w:szCs w:val="24"/>
          <w:lang w:eastAsia="en-IN" w:bidi="mr-IN"/>
        </w:rPr>
        <w:t xml:space="preserve"> Del 1776</w:t>
      </w:r>
      <w:r w:rsidRPr="003E01AA">
        <w:rPr>
          <w:rFonts w:ascii="Verdana" w:eastAsia="Times New Roman" w:hAnsi="Verdana" w:cs="Times New Roman"/>
          <w:color w:val="1A1A1A"/>
          <w:sz w:val="24"/>
          <w:szCs w:val="24"/>
          <w:lang w:eastAsia="en-IN" w:bidi="mr-IN"/>
        </w:rPr>
        <w:t xml:space="preserve">, wherein the Delhi High Court had held that a notice under Section 148A(b) issued in the name of a deceased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was invalid. The petitioner therefore sought quashing of the notice, the order passed under Section 148A(d), and the consequential reassessment notice.</w:t>
      </w:r>
    </w:p>
    <w:p w14:paraId="41814B5A"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The High Court rejected the petitioner’s argument after examining the effect of the Supreme Court’s judgment in </w:t>
      </w:r>
      <w:r w:rsidRPr="003E01AA">
        <w:rPr>
          <w:rFonts w:ascii="Verdana" w:eastAsia="Times New Roman" w:hAnsi="Verdana" w:cs="Times New Roman"/>
          <w:b/>
          <w:bCs/>
          <w:color w:val="1A1A1A"/>
          <w:sz w:val="24"/>
          <w:szCs w:val="24"/>
          <w:lang w:eastAsia="en-IN" w:bidi="mr-IN"/>
        </w:rPr>
        <w:t>Ashish Agarwal</w:t>
      </w:r>
      <w:r w:rsidRPr="003E01AA">
        <w:rPr>
          <w:rFonts w:ascii="Verdana" w:eastAsia="Times New Roman" w:hAnsi="Verdana" w:cs="Times New Roman"/>
          <w:color w:val="1A1A1A"/>
          <w:sz w:val="24"/>
          <w:szCs w:val="24"/>
          <w:lang w:eastAsia="en-IN" w:bidi="mr-IN"/>
        </w:rPr>
        <w:t xml:space="preserve">. The Court observed that reassessment notices issued under the erstwhile Section 148 between 1 April </w:t>
      </w:r>
      <w:proofErr w:type="gramStart"/>
      <w:r w:rsidRPr="003E01AA">
        <w:rPr>
          <w:rFonts w:ascii="Verdana" w:eastAsia="Times New Roman" w:hAnsi="Verdana" w:cs="Times New Roman"/>
          <w:color w:val="1A1A1A"/>
          <w:sz w:val="24"/>
          <w:szCs w:val="24"/>
          <w:lang w:eastAsia="en-IN" w:bidi="mr-IN"/>
        </w:rPr>
        <w:t>2021</w:t>
      </w:r>
      <w:proofErr w:type="gramEnd"/>
      <w:r w:rsidRPr="003E01AA">
        <w:rPr>
          <w:rFonts w:ascii="Verdana" w:eastAsia="Times New Roman" w:hAnsi="Verdana" w:cs="Times New Roman"/>
          <w:color w:val="1A1A1A"/>
          <w:sz w:val="24"/>
          <w:szCs w:val="24"/>
          <w:lang w:eastAsia="en-IN" w:bidi="mr-IN"/>
        </w:rPr>
        <w:t xml:space="preserve"> and 30 June 2021 were required to be treated as show-cause notices under Section 148A(b). Consequently, the notice dated 1 June 2022 was part of the proceedings originating from the notice dated 25 April 2021. Since the original notice had been issued while Vijaya Garg was alive, the subsequent proceedings could not be treated as proceedings initiated for the first time against a deceased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w:t>
      </w:r>
    </w:p>
    <w:p w14:paraId="1834898C"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The Court placed </w:t>
      </w:r>
      <w:proofErr w:type="gramStart"/>
      <w:r w:rsidRPr="003E01AA">
        <w:rPr>
          <w:rFonts w:ascii="Verdana" w:eastAsia="Times New Roman" w:hAnsi="Verdana" w:cs="Times New Roman"/>
          <w:color w:val="1A1A1A"/>
          <w:sz w:val="24"/>
          <w:szCs w:val="24"/>
          <w:lang w:eastAsia="en-IN" w:bidi="mr-IN"/>
        </w:rPr>
        <w:t>particular reliance</w:t>
      </w:r>
      <w:proofErr w:type="gramEnd"/>
      <w:r w:rsidRPr="003E01AA">
        <w:rPr>
          <w:rFonts w:ascii="Verdana" w:eastAsia="Times New Roman" w:hAnsi="Verdana" w:cs="Times New Roman"/>
          <w:color w:val="1A1A1A"/>
          <w:sz w:val="24"/>
          <w:szCs w:val="24"/>
          <w:lang w:eastAsia="en-IN" w:bidi="mr-IN"/>
        </w:rPr>
        <w:t xml:space="preserve"> on </w:t>
      </w:r>
      <w:r w:rsidRPr="003E01AA">
        <w:rPr>
          <w:rFonts w:ascii="Verdana" w:eastAsia="Times New Roman" w:hAnsi="Verdana" w:cs="Times New Roman"/>
          <w:b/>
          <w:bCs/>
          <w:color w:val="1A1A1A"/>
          <w:sz w:val="24"/>
          <w:szCs w:val="24"/>
          <w:lang w:eastAsia="en-IN" w:bidi="mr-IN"/>
        </w:rPr>
        <w:t>Section 159(2)(a)</w:t>
      </w:r>
      <w:r w:rsidRPr="003E01AA">
        <w:rPr>
          <w:rFonts w:ascii="Verdana" w:eastAsia="Times New Roman" w:hAnsi="Verdana" w:cs="Times New Roman"/>
          <w:color w:val="1A1A1A"/>
          <w:sz w:val="24"/>
          <w:szCs w:val="24"/>
          <w:lang w:eastAsia="en-IN" w:bidi="mr-IN"/>
        </w:rPr>
        <w:t xml:space="preserve">, which provides that proceedings initiated against a person before death are deemed to have been initiated against the legal representative and may continue from the stage at which they stood on the date of death. Referring to </w:t>
      </w:r>
      <w:r w:rsidRPr="003E01AA">
        <w:rPr>
          <w:rFonts w:ascii="Verdana" w:eastAsia="Times New Roman" w:hAnsi="Verdana" w:cs="Times New Roman"/>
          <w:b/>
          <w:bCs/>
          <w:color w:val="1A1A1A"/>
          <w:sz w:val="24"/>
          <w:szCs w:val="24"/>
          <w:lang w:eastAsia="en-IN" w:bidi="mr-IN"/>
        </w:rPr>
        <w:t>Shabina Abraham &amp; Others v. Collector of Central Excise and Customs, (2015) 10 SCC 770</w:t>
      </w:r>
      <w:r w:rsidRPr="003E01AA">
        <w:rPr>
          <w:rFonts w:ascii="Verdana" w:eastAsia="Times New Roman" w:hAnsi="Verdana" w:cs="Times New Roman"/>
          <w:color w:val="1A1A1A"/>
          <w:sz w:val="24"/>
          <w:szCs w:val="24"/>
          <w:lang w:eastAsia="en-IN" w:bidi="mr-IN"/>
        </w:rPr>
        <w:t>, the Court explained that Section 159 creates a statutory fiction permitting continuation of assessment proceedings against the legal representative. The representative’s liability is ordinarily restricted to the estate of the deceased capable of meeting the tax liability, subject to the statutory conditions and exceptions.</w:t>
      </w:r>
    </w:p>
    <w:p w14:paraId="328D8F22"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The Court distinguished </w:t>
      </w:r>
      <w:r w:rsidRPr="003E01AA">
        <w:rPr>
          <w:rFonts w:ascii="Verdana" w:eastAsia="Times New Roman" w:hAnsi="Verdana" w:cs="Times New Roman"/>
          <w:b/>
          <w:bCs/>
          <w:color w:val="1A1A1A"/>
          <w:sz w:val="24"/>
          <w:szCs w:val="24"/>
          <w:lang w:eastAsia="en-IN" w:bidi="mr-IN"/>
        </w:rPr>
        <w:t xml:space="preserve">Sangeeta </w:t>
      </w:r>
      <w:proofErr w:type="spellStart"/>
      <w:r w:rsidRPr="003E01AA">
        <w:rPr>
          <w:rFonts w:ascii="Verdana" w:eastAsia="Times New Roman" w:hAnsi="Verdana" w:cs="Times New Roman"/>
          <w:b/>
          <w:bCs/>
          <w:color w:val="1A1A1A"/>
          <w:sz w:val="24"/>
          <w:szCs w:val="24"/>
          <w:lang w:eastAsia="en-IN" w:bidi="mr-IN"/>
        </w:rPr>
        <w:t>Vig</w:t>
      </w:r>
      <w:proofErr w:type="spellEnd"/>
      <w:r w:rsidRPr="003E01AA">
        <w:rPr>
          <w:rFonts w:ascii="Verdana" w:eastAsia="Times New Roman" w:hAnsi="Verdana" w:cs="Times New Roman"/>
          <w:color w:val="1A1A1A"/>
          <w:sz w:val="24"/>
          <w:szCs w:val="24"/>
          <w:lang w:eastAsia="en-IN" w:bidi="mr-IN"/>
        </w:rPr>
        <w:t xml:space="preserve"> on its facts. In that case, the initial reassessment notice had itself been issued after the </w:t>
      </w:r>
      <w:proofErr w:type="spellStart"/>
      <w:r w:rsidRPr="003E01AA">
        <w:rPr>
          <w:rFonts w:ascii="Verdana" w:eastAsia="Times New Roman" w:hAnsi="Verdana" w:cs="Times New Roman"/>
          <w:color w:val="1A1A1A"/>
          <w:sz w:val="24"/>
          <w:szCs w:val="24"/>
          <w:lang w:eastAsia="en-IN" w:bidi="mr-IN"/>
        </w:rPr>
        <w:t>assessee’s</w:t>
      </w:r>
      <w:proofErr w:type="spellEnd"/>
      <w:r w:rsidRPr="003E01AA">
        <w:rPr>
          <w:rFonts w:ascii="Verdana" w:eastAsia="Times New Roman" w:hAnsi="Verdana" w:cs="Times New Roman"/>
          <w:color w:val="1A1A1A"/>
          <w:sz w:val="24"/>
          <w:szCs w:val="24"/>
          <w:lang w:eastAsia="en-IN" w:bidi="mr-IN"/>
        </w:rPr>
        <w:t xml:space="preserve"> death. In the present matter, however, the initial notice was issued before death, and the Assessing Officer subsequently corrected the addressee to identify the deceased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through her legal heir. The Court held that this course was consistent with Section 159 and that the reassessment proceedings could lawfully continue against Amit Garg as the legal representative.</w:t>
      </w:r>
    </w:p>
    <w:p w14:paraId="7BB8EBEE"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Accordingly, the Delhi High Court </w:t>
      </w:r>
      <w:r w:rsidRPr="003E01AA">
        <w:rPr>
          <w:rFonts w:ascii="Verdana" w:eastAsia="Times New Roman" w:hAnsi="Verdana" w:cs="Times New Roman"/>
          <w:b/>
          <w:bCs/>
          <w:color w:val="1A1A1A"/>
          <w:sz w:val="24"/>
          <w:szCs w:val="24"/>
          <w:lang w:eastAsia="en-IN" w:bidi="mr-IN"/>
        </w:rPr>
        <w:t>disposed of the writ petition without quashing the reassessment proceedings</w:t>
      </w:r>
      <w:r w:rsidRPr="003E01AA">
        <w:rPr>
          <w:rFonts w:ascii="Verdana" w:eastAsia="Times New Roman" w:hAnsi="Verdana" w:cs="Times New Roman"/>
          <w:color w:val="1A1A1A"/>
          <w:sz w:val="24"/>
          <w:szCs w:val="24"/>
          <w:lang w:eastAsia="en-IN" w:bidi="mr-IN"/>
        </w:rPr>
        <w:t xml:space="preserve">. The Court expressly clarified that all rights and contentions of the parties concerning the merits remained open, except the legal question regarding continuation of assessment proceedings against the legal representative, which stood determined. The ruling establishes the distinction between proceedings originally initiated against an already deceased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and proceedings initiated during the </w:t>
      </w:r>
      <w:proofErr w:type="spellStart"/>
      <w:r w:rsidRPr="003E01AA">
        <w:rPr>
          <w:rFonts w:ascii="Verdana" w:eastAsia="Times New Roman" w:hAnsi="Verdana" w:cs="Times New Roman"/>
          <w:color w:val="1A1A1A"/>
          <w:sz w:val="24"/>
          <w:szCs w:val="24"/>
          <w:lang w:eastAsia="en-IN" w:bidi="mr-IN"/>
        </w:rPr>
        <w:t>assessee’s</w:t>
      </w:r>
      <w:proofErr w:type="spellEnd"/>
      <w:r w:rsidRPr="003E01AA">
        <w:rPr>
          <w:rFonts w:ascii="Verdana" w:eastAsia="Times New Roman" w:hAnsi="Verdana" w:cs="Times New Roman"/>
          <w:color w:val="1A1A1A"/>
          <w:sz w:val="24"/>
          <w:szCs w:val="24"/>
          <w:lang w:eastAsia="en-IN" w:bidi="mr-IN"/>
        </w:rPr>
        <w:t xml:space="preserve"> lifetime that subsequently continue against the legal representative under Section 159.</w:t>
      </w:r>
    </w:p>
    <w:p w14:paraId="00400ED6"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b/>
          <w:bCs/>
          <w:color w:val="1A1A1A"/>
          <w:sz w:val="24"/>
          <w:szCs w:val="24"/>
          <w:lang w:eastAsia="en-IN" w:bidi="mr-IN"/>
        </w:rPr>
        <w:lastRenderedPageBreak/>
        <w:t>Cases Discussed</w:t>
      </w:r>
    </w:p>
    <w:p w14:paraId="3485E782" w14:textId="77777777" w:rsidR="003E01AA" w:rsidRPr="003E01AA" w:rsidRDefault="003E01AA" w:rsidP="003E01AA">
      <w:pPr>
        <w:numPr>
          <w:ilvl w:val="0"/>
          <w:numId w:val="1"/>
        </w:num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b/>
          <w:bCs/>
          <w:color w:val="1A1A1A"/>
          <w:sz w:val="24"/>
          <w:szCs w:val="24"/>
          <w:lang w:eastAsia="en-IN" w:bidi="mr-IN"/>
        </w:rPr>
        <w:t>Shabina Abraham &amp; Others v. Collector of Central Excise and Customs, (2015) 10 SCC 770, Supreme Court, decided on 29 July 2015</w:t>
      </w:r>
      <w:r w:rsidRPr="003E01AA">
        <w:rPr>
          <w:rFonts w:ascii="Verdana" w:eastAsia="Times New Roman" w:hAnsi="Verdana" w:cs="Times New Roman"/>
          <w:color w:val="1A1A1A"/>
          <w:sz w:val="24"/>
          <w:szCs w:val="24"/>
          <w:lang w:eastAsia="en-IN" w:bidi="mr-IN"/>
        </w:rPr>
        <w:t xml:space="preserve">. The Delhi High Court relied on the Supreme Court’s explanation of the statutory deeming fiction under Section 159(2) and the limitation of legal representative liability to the deceased’s estate. </w:t>
      </w:r>
      <w:hyperlink r:id="rId6" w:tgtFrame="_blank" w:tooltip="Shabina Abraham Supreme Court judgment concerning proceedings against legal representatives" w:history="1">
        <w:r w:rsidRPr="003E01AA">
          <w:rPr>
            <w:rFonts w:ascii="Verdana" w:eastAsia="Times New Roman" w:hAnsi="Verdana" w:cs="Times New Roman"/>
            <w:color w:val="2E75B5"/>
            <w:sz w:val="24"/>
            <w:szCs w:val="24"/>
            <w:u w:val="single"/>
            <w:lang w:eastAsia="en-IN" w:bidi="mr-IN"/>
          </w:rPr>
          <w:t xml:space="preserve">Read judgment on </w:t>
        </w:r>
        <w:proofErr w:type="spellStart"/>
        <w:r w:rsidRPr="003E01AA">
          <w:rPr>
            <w:rFonts w:ascii="Verdana" w:eastAsia="Times New Roman" w:hAnsi="Verdana" w:cs="Times New Roman"/>
            <w:color w:val="2E75B5"/>
            <w:sz w:val="24"/>
            <w:szCs w:val="24"/>
            <w:u w:val="single"/>
            <w:lang w:eastAsia="en-IN" w:bidi="mr-IN"/>
          </w:rPr>
          <w:t>TaxGuru</w:t>
        </w:r>
        <w:proofErr w:type="spellEnd"/>
      </w:hyperlink>
      <w:r w:rsidRPr="003E01AA">
        <w:rPr>
          <w:rFonts w:ascii="Verdana" w:eastAsia="Times New Roman" w:hAnsi="Verdana" w:cs="Times New Roman"/>
          <w:color w:val="1A1A1A"/>
          <w:sz w:val="24"/>
          <w:szCs w:val="24"/>
          <w:lang w:eastAsia="en-IN" w:bidi="mr-IN"/>
        </w:rPr>
        <w:t>.</w:t>
      </w:r>
    </w:p>
    <w:p w14:paraId="100F2FD0" w14:textId="77777777" w:rsidR="003E01AA" w:rsidRPr="003E01AA" w:rsidRDefault="003E01AA" w:rsidP="003E01AA">
      <w:pPr>
        <w:numPr>
          <w:ilvl w:val="0"/>
          <w:numId w:val="1"/>
        </w:numPr>
        <w:spacing w:before="100" w:beforeAutospacing="1" w:after="100" w:afterAutospacing="1" w:line="240" w:lineRule="auto"/>
        <w:rPr>
          <w:rFonts w:ascii="Verdana" w:eastAsia="Times New Roman" w:hAnsi="Verdana" w:cs="Times New Roman"/>
          <w:color w:val="1A1A1A"/>
          <w:sz w:val="24"/>
          <w:szCs w:val="24"/>
          <w:lang w:eastAsia="en-IN" w:bidi="mr-IN"/>
        </w:rPr>
      </w:pPr>
      <w:hyperlink r:id="rId7" w:tgtFrame="_blank" w:tooltip="Delhi HC dismisses reassessment notices issued after 31.03.2021 in 1346 cases" w:history="1">
        <w:r w:rsidRPr="003E01AA">
          <w:rPr>
            <w:rFonts w:ascii="Verdana" w:eastAsia="Times New Roman" w:hAnsi="Verdana" w:cs="Times New Roman"/>
            <w:b/>
            <w:bCs/>
            <w:color w:val="2E75B5"/>
            <w:sz w:val="24"/>
            <w:szCs w:val="24"/>
            <w:u w:val="single"/>
            <w:lang w:eastAsia="en-IN" w:bidi="mr-IN"/>
          </w:rPr>
          <w:t xml:space="preserve">Mon Mohan Kohli v. Assistant Commissioner of Income Tax &amp; </w:t>
        </w:r>
        <w:proofErr w:type="spellStart"/>
        <w:r w:rsidRPr="003E01AA">
          <w:rPr>
            <w:rFonts w:ascii="Verdana" w:eastAsia="Times New Roman" w:hAnsi="Verdana" w:cs="Times New Roman"/>
            <w:b/>
            <w:bCs/>
            <w:color w:val="2E75B5"/>
            <w:sz w:val="24"/>
            <w:szCs w:val="24"/>
            <w:u w:val="single"/>
            <w:lang w:eastAsia="en-IN" w:bidi="mr-IN"/>
          </w:rPr>
          <w:t>Anr</w:t>
        </w:r>
        <w:proofErr w:type="spellEnd"/>
        <w:r w:rsidRPr="003E01AA">
          <w:rPr>
            <w:rFonts w:ascii="Verdana" w:eastAsia="Times New Roman" w:hAnsi="Verdana" w:cs="Times New Roman"/>
            <w:b/>
            <w:bCs/>
            <w:color w:val="2E75B5"/>
            <w:sz w:val="24"/>
            <w:szCs w:val="24"/>
            <w:u w:val="single"/>
            <w:lang w:eastAsia="en-IN" w:bidi="mr-IN"/>
          </w:rPr>
          <w:t xml:space="preserve">., 2021 SCC </w:t>
        </w:r>
        <w:proofErr w:type="spellStart"/>
        <w:r w:rsidRPr="003E01AA">
          <w:rPr>
            <w:rFonts w:ascii="Verdana" w:eastAsia="Times New Roman" w:hAnsi="Verdana" w:cs="Times New Roman"/>
            <w:b/>
            <w:bCs/>
            <w:color w:val="2E75B5"/>
            <w:sz w:val="24"/>
            <w:szCs w:val="24"/>
            <w:u w:val="single"/>
            <w:lang w:eastAsia="en-IN" w:bidi="mr-IN"/>
          </w:rPr>
          <w:t>OnLine</w:t>
        </w:r>
        <w:proofErr w:type="spellEnd"/>
        <w:r w:rsidRPr="003E01AA">
          <w:rPr>
            <w:rFonts w:ascii="Verdana" w:eastAsia="Times New Roman" w:hAnsi="Verdana" w:cs="Times New Roman"/>
            <w:b/>
            <w:bCs/>
            <w:color w:val="2E75B5"/>
            <w:sz w:val="24"/>
            <w:szCs w:val="24"/>
            <w:u w:val="single"/>
            <w:lang w:eastAsia="en-IN" w:bidi="mr-IN"/>
          </w:rPr>
          <w:t xml:space="preserve"> Del 5250, Delhi High Court</w:t>
        </w:r>
      </w:hyperlink>
      <w:r w:rsidRPr="003E01AA">
        <w:rPr>
          <w:rFonts w:ascii="Verdana" w:eastAsia="Times New Roman" w:hAnsi="Verdana" w:cs="Times New Roman"/>
          <w:color w:val="1A1A1A"/>
          <w:sz w:val="24"/>
          <w:szCs w:val="24"/>
          <w:lang w:eastAsia="en-IN" w:bidi="mr-IN"/>
        </w:rPr>
        <w:t>. The earlier reassessment notice was quashed by the Delhi High Court following this decision concerning notices issued under the erstwhile reassessment provisions.</w:t>
      </w:r>
    </w:p>
    <w:p w14:paraId="31A9E84C" w14:textId="77777777" w:rsidR="003E01AA" w:rsidRPr="003E01AA" w:rsidRDefault="003E01AA" w:rsidP="003E01AA">
      <w:pPr>
        <w:numPr>
          <w:ilvl w:val="0"/>
          <w:numId w:val="1"/>
        </w:num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b/>
          <w:bCs/>
          <w:color w:val="1A1A1A"/>
          <w:sz w:val="24"/>
          <w:szCs w:val="24"/>
          <w:lang w:eastAsia="en-IN" w:bidi="mr-IN"/>
        </w:rPr>
        <w:t xml:space="preserve">Union of India v. Ashish Agarwal, (2022) SCC </w:t>
      </w:r>
      <w:proofErr w:type="spellStart"/>
      <w:r w:rsidRPr="003E01AA">
        <w:rPr>
          <w:rFonts w:ascii="Verdana" w:eastAsia="Times New Roman" w:hAnsi="Verdana" w:cs="Times New Roman"/>
          <w:b/>
          <w:bCs/>
          <w:color w:val="1A1A1A"/>
          <w:sz w:val="24"/>
          <w:szCs w:val="24"/>
          <w:lang w:eastAsia="en-IN" w:bidi="mr-IN"/>
        </w:rPr>
        <w:t>OnLine</w:t>
      </w:r>
      <w:proofErr w:type="spellEnd"/>
      <w:r w:rsidRPr="003E01AA">
        <w:rPr>
          <w:rFonts w:ascii="Verdana" w:eastAsia="Times New Roman" w:hAnsi="Verdana" w:cs="Times New Roman"/>
          <w:b/>
          <w:bCs/>
          <w:color w:val="1A1A1A"/>
          <w:sz w:val="24"/>
          <w:szCs w:val="24"/>
          <w:lang w:eastAsia="en-IN" w:bidi="mr-IN"/>
        </w:rPr>
        <w:t xml:space="preserve"> SC 543; (2022) 444 ITR 1 (SC)</w:t>
      </w:r>
      <w:r w:rsidRPr="003E01AA">
        <w:rPr>
          <w:rFonts w:ascii="Verdana" w:eastAsia="Times New Roman" w:hAnsi="Verdana" w:cs="Times New Roman"/>
          <w:color w:val="1A1A1A"/>
          <w:sz w:val="24"/>
          <w:szCs w:val="24"/>
          <w:lang w:eastAsia="en-IN" w:bidi="mr-IN"/>
        </w:rPr>
        <w:t>, Supreme Court, decided on 4 May 2022. The Supreme Court directed that specified reassessment notices issued under the erstwhile Section 148 between 1 April and 30 June 2021 be treated as show-cause notices under Section 148A(b).</w:t>
      </w:r>
    </w:p>
    <w:p w14:paraId="5E418C1E" w14:textId="77777777" w:rsidR="003E01AA" w:rsidRPr="003E01AA" w:rsidRDefault="003E01AA" w:rsidP="003E01AA">
      <w:pPr>
        <w:numPr>
          <w:ilvl w:val="0"/>
          <w:numId w:val="1"/>
        </w:num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Sangeeta </w:t>
      </w:r>
      <w:proofErr w:type="spellStart"/>
      <w:r w:rsidRPr="003E01AA">
        <w:rPr>
          <w:rFonts w:ascii="Verdana" w:eastAsia="Times New Roman" w:hAnsi="Verdana" w:cs="Times New Roman"/>
          <w:color w:val="1A1A1A"/>
          <w:sz w:val="24"/>
          <w:szCs w:val="24"/>
          <w:lang w:eastAsia="en-IN" w:bidi="mr-IN"/>
        </w:rPr>
        <w:t>Vig</w:t>
      </w:r>
      <w:proofErr w:type="spellEnd"/>
      <w:r w:rsidRPr="003E01AA">
        <w:rPr>
          <w:rFonts w:ascii="Verdana" w:eastAsia="Times New Roman" w:hAnsi="Verdana" w:cs="Times New Roman"/>
          <w:color w:val="1A1A1A"/>
          <w:sz w:val="24"/>
          <w:szCs w:val="24"/>
          <w:lang w:eastAsia="en-IN" w:bidi="mr-IN"/>
        </w:rPr>
        <w:t xml:space="preserve"> v. ITO, Ward 28(5), (2022) SCC </w:t>
      </w:r>
      <w:proofErr w:type="spellStart"/>
      <w:r w:rsidRPr="003E01AA">
        <w:rPr>
          <w:rFonts w:ascii="Verdana" w:eastAsia="Times New Roman" w:hAnsi="Verdana" w:cs="Times New Roman"/>
          <w:color w:val="1A1A1A"/>
          <w:sz w:val="24"/>
          <w:szCs w:val="24"/>
          <w:lang w:eastAsia="en-IN" w:bidi="mr-IN"/>
        </w:rPr>
        <w:t>OnLine</w:t>
      </w:r>
      <w:proofErr w:type="spellEnd"/>
      <w:r w:rsidRPr="003E01AA">
        <w:rPr>
          <w:rFonts w:ascii="Verdana" w:eastAsia="Times New Roman" w:hAnsi="Verdana" w:cs="Times New Roman"/>
          <w:color w:val="1A1A1A"/>
          <w:sz w:val="24"/>
          <w:szCs w:val="24"/>
          <w:lang w:eastAsia="en-IN" w:bidi="mr-IN"/>
        </w:rPr>
        <w:t xml:space="preserve"> Del 1776, Delhi High Court. The petitioner relied upon this decision concerning notices issued to deceased </w:t>
      </w:r>
      <w:proofErr w:type="spellStart"/>
      <w:r w:rsidRPr="003E01AA">
        <w:rPr>
          <w:rFonts w:ascii="Verdana" w:eastAsia="Times New Roman" w:hAnsi="Verdana" w:cs="Times New Roman"/>
          <w:color w:val="1A1A1A"/>
          <w:sz w:val="24"/>
          <w:szCs w:val="24"/>
          <w:lang w:eastAsia="en-IN" w:bidi="mr-IN"/>
        </w:rPr>
        <w:t>assessees</w:t>
      </w:r>
      <w:proofErr w:type="spellEnd"/>
      <w:r w:rsidRPr="003E01AA">
        <w:rPr>
          <w:rFonts w:ascii="Verdana" w:eastAsia="Times New Roman" w:hAnsi="Verdana" w:cs="Times New Roman"/>
          <w:color w:val="1A1A1A"/>
          <w:sz w:val="24"/>
          <w:szCs w:val="24"/>
          <w:lang w:eastAsia="en-IN" w:bidi="mr-IN"/>
        </w:rPr>
        <w:t xml:space="preserve">. The Court distinguished it because the original notice in that case was issued after the </w:t>
      </w:r>
      <w:proofErr w:type="spellStart"/>
      <w:r w:rsidRPr="003E01AA">
        <w:rPr>
          <w:rFonts w:ascii="Verdana" w:eastAsia="Times New Roman" w:hAnsi="Verdana" w:cs="Times New Roman"/>
          <w:color w:val="1A1A1A"/>
          <w:sz w:val="24"/>
          <w:szCs w:val="24"/>
          <w:lang w:eastAsia="en-IN" w:bidi="mr-IN"/>
        </w:rPr>
        <w:t>assessee’s</w:t>
      </w:r>
      <w:proofErr w:type="spellEnd"/>
      <w:r w:rsidRPr="003E01AA">
        <w:rPr>
          <w:rFonts w:ascii="Verdana" w:eastAsia="Times New Roman" w:hAnsi="Verdana" w:cs="Times New Roman"/>
          <w:color w:val="1A1A1A"/>
          <w:sz w:val="24"/>
          <w:szCs w:val="24"/>
          <w:lang w:eastAsia="en-IN" w:bidi="mr-IN"/>
        </w:rPr>
        <w:t xml:space="preserve"> death.</w:t>
      </w:r>
    </w:p>
    <w:p w14:paraId="13A932F1"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b/>
          <w:bCs/>
          <w:color w:val="1A1A1A"/>
          <w:sz w:val="24"/>
          <w:szCs w:val="24"/>
          <w:u w:val="single"/>
          <w:lang w:eastAsia="en-IN" w:bidi="mr-IN"/>
        </w:rPr>
        <w:t>FULL TEXT OF THE JUDGMENT/ORDER OF DELHI HIGH COURT</w:t>
      </w:r>
    </w:p>
    <w:p w14:paraId="5D140B6F"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b/>
          <w:bCs/>
          <w:color w:val="1A1A1A"/>
          <w:sz w:val="24"/>
          <w:szCs w:val="24"/>
          <w:u w:val="single"/>
          <w:lang w:eastAsia="en-IN" w:bidi="mr-IN"/>
        </w:rPr>
        <w:t>CM APPL. 42283/2022</w:t>
      </w:r>
    </w:p>
    <w:p w14:paraId="650790E4"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Exemption allowed, subject to all just exceptions.</w:t>
      </w:r>
    </w:p>
    <w:p w14:paraId="6E4E666C"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Accordingly, this application is disposed of.</w:t>
      </w:r>
    </w:p>
    <w:p w14:paraId="50BC3724"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b/>
          <w:bCs/>
          <w:color w:val="1A1A1A"/>
          <w:sz w:val="24"/>
          <w:szCs w:val="24"/>
          <w:u w:val="single"/>
          <w:lang w:eastAsia="en-IN" w:bidi="mr-IN"/>
        </w:rPr>
        <w:t>W.P.(C) 13821/2022 &amp; CM APPL. 42282/2022(for interim stay)</w:t>
      </w:r>
    </w:p>
    <w:p w14:paraId="5F9C4E4C"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1. The present writ petition has been filed by Sh. Amit Garg, being the legal heir of the deceased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Smt. Vijaya Garg, seeking quashing of the impugned notice dated 1st June, 2022, furnishing material and information as per Section 148A(b) of the Income Tax Act, 1961, (the ‘Act’), and consequent order dated 28th July, 2022, passed under Section 148A(d) of the Act, and notice dated 29th July, 2022, under Section 148 of the Act for the assessment year 2015-16.</w:t>
      </w:r>
    </w:p>
    <w:p w14:paraId="0A749ADF"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2. Briefly stated the facts giving rise to the present controversy are that the deceased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filed her Return of Income on 28th </w:t>
      </w:r>
      <w:proofErr w:type="gramStart"/>
      <w:r w:rsidRPr="003E01AA">
        <w:rPr>
          <w:rFonts w:ascii="Verdana" w:eastAsia="Times New Roman" w:hAnsi="Verdana" w:cs="Times New Roman"/>
          <w:color w:val="1A1A1A"/>
          <w:sz w:val="24"/>
          <w:szCs w:val="24"/>
          <w:lang w:eastAsia="en-IN" w:bidi="mr-IN"/>
        </w:rPr>
        <w:t>September,</w:t>
      </w:r>
      <w:proofErr w:type="gramEnd"/>
      <w:r w:rsidRPr="003E01AA">
        <w:rPr>
          <w:rFonts w:ascii="Verdana" w:eastAsia="Times New Roman" w:hAnsi="Verdana" w:cs="Times New Roman"/>
          <w:color w:val="1A1A1A"/>
          <w:sz w:val="24"/>
          <w:szCs w:val="24"/>
          <w:lang w:eastAsia="en-IN" w:bidi="mr-IN"/>
        </w:rPr>
        <w:t xml:space="preserve"> 2015, declaring a total income of Rs.10,00,960/- for the Assessment Year (‘AY’) 2015-16. The </w:t>
      </w:r>
      <w:proofErr w:type="spellStart"/>
      <w:r w:rsidRPr="003E01AA">
        <w:rPr>
          <w:rFonts w:ascii="Verdana" w:eastAsia="Times New Roman" w:hAnsi="Verdana" w:cs="Times New Roman"/>
          <w:color w:val="1A1A1A"/>
          <w:sz w:val="24"/>
          <w:szCs w:val="24"/>
          <w:lang w:eastAsia="en-IN" w:bidi="mr-IN"/>
        </w:rPr>
        <w:t>assessee’s</w:t>
      </w:r>
      <w:proofErr w:type="spellEnd"/>
      <w:r w:rsidRPr="003E01AA">
        <w:rPr>
          <w:rFonts w:ascii="Verdana" w:eastAsia="Times New Roman" w:hAnsi="Verdana" w:cs="Times New Roman"/>
          <w:color w:val="1A1A1A"/>
          <w:sz w:val="24"/>
          <w:szCs w:val="24"/>
          <w:lang w:eastAsia="en-IN" w:bidi="mr-IN"/>
        </w:rPr>
        <w:t xml:space="preserve"> case was selected for limited scrutiny </w:t>
      </w:r>
      <w:proofErr w:type="gramStart"/>
      <w:r w:rsidRPr="003E01AA">
        <w:rPr>
          <w:rFonts w:ascii="Verdana" w:eastAsia="Times New Roman" w:hAnsi="Verdana" w:cs="Times New Roman"/>
          <w:color w:val="1A1A1A"/>
          <w:sz w:val="24"/>
          <w:szCs w:val="24"/>
          <w:lang w:eastAsia="en-IN" w:bidi="mr-IN"/>
        </w:rPr>
        <w:t>assessment</w:t>
      </w:r>
      <w:proofErr w:type="gramEnd"/>
      <w:r w:rsidRPr="003E01AA">
        <w:rPr>
          <w:rFonts w:ascii="Verdana" w:eastAsia="Times New Roman" w:hAnsi="Verdana" w:cs="Times New Roman"/>
          <w:color w:val="1A1A1A"/>
          <w:sz w:val="24"/>
          <w:szCs w:val="24"/>
          <w:lang w:eastAsia="en-IN" w:bidi="mr-IN"/>
        </w:rPr>
        <w:t xml:space="preserve"> and the returned income was accepted vide assessment order dated 11th </w:t>
      </w:r>
      <w:proofErr w:type="gramStart"/>
      <w:r w:rsidRPr="003E01AA">
        <w:rPr>
          <w:rFonts w:ascii="Verdana" w:eastAsia="Times New Roman" w:hAnsi="Verdana" w:cs="Times New Roman"/>
          <w:color w:val="1A1A1A"/>
          <w:sz w:val="24"/>
          <w:szCs w:val="24"/>
          <w:lang w:eastAsia="en-IN" w:bidi="mr-IN"/>
        </w:rPr>
        <w:t>May,</w:t>
      </w:r>
      <w:proofErr w:type="gramEnd"/>
      <w:r w:rsidRPr="003E01AA">
        <w:rPr>
          <w:rFonts w:ascii="Verdana" w:eastAsia="Times New Roman" w:hAnsi="Verdana" w:cs="Times New Roman"/>
          <w:color w:val="1A1A1A"/>
          <w:sz w:val="24"/>
          <w:szCs w:val="24"/>
          <w:lang w:eastAsia="en-IN" w:bidi="mr-IN"/>
        </w:rPr>
        <w:t xml:space="preserve"> 2017, passed under Section 143(3) of the Act.</w:t>
      </w:r>
    </w:p>
    <w:p w14:paraId="366607A6"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lastRenderedPageBreak/>
        <w:t xml:space="preserve">3. Thereafter,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was issued a notice dated 25th </w:t>
      </w:r>
      <w:proofErr w:type="gramStart"/>
      <w:r w:rsidRPr="003E01AA">
        <w:rPr>
          <w:rFonts w:ascii="Verdana" w:eastAsia="Times New Roman" w:hAnsi="Verdana" w:cs="Times New Roman"/>
          <w:color w:val="1A1A1A"/>
          <w:sz w:val="24"/>
          <w:szCs w:val="24"/>
          <w:lang w:eastAsia="en-IN" w:bidi="mr-IN"/>
        </w:rPr>
        <w:t>April,</w:t>
      </w:r>
      <w:proofErr w:type="gramEnd"/>
      <w:r w:rsidRPr="003E01AA">
        <w:rPr>
          <w:rFonts w:ascii="Verdana" w:eastAsia="Times New Roman" w:hAnsi="Verdana" w:cs="Times New Roman"/>
          <w:color w:val="1A1A1A"/>
          <w:sz w:val="24"/>
          <w:szCs w:val="24"/>
          <w:lang w:eastAsia="en-IN" w:bidi="mr-IN"/>
        </w:rPr>
        <w:t xml:space="preserve"> 2021 during her lifetime, under the unamended Section 148 of the Act, alleging that income for the relevant assessment year has escaped assessment. In the meanwhile,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Smt. Vijaya Garg passed away on 24th </w:t>
      </w:r>
      <w:proofErr w:type="gramStart"/>
      <w:r w:rsidRPr="003E01AA">
        <w:rPr>
          <w:rFonts w:ascii="Verdana" w:eastAsia="Times New Roman" w:hAnsi="Verdana" w:cs="Times New Roman"/>
          <w:color w:val="1A1A1A"/>
          <w:sz w:val="24"/>
          <w:szCs w:val="24"/>
          <w:lang w:eastAsia="en-IN" w:bidi="mr-IN"/>
        </w:rPr>
        <w:t>June,</w:t>
      </w:r>
      <w:proofErr w:type="gramEnd"/>
      <w:r w:rsidRPr="003E01AA">
        <w:rPr>
          <w:rFonts w:ascii="Verdana" w:eastAsia="Times New Roman" w:hAnsi="Verdana" w:cs="Times New Roman"/>
          <w:color w:val="1A1A1A"/>
          <w:sz w:val="24"/>
          <w:szCs w:val="24"/>
          <w:lang w:eastAsia="en-IN" w:bidi="mr-IN"/>
        </w:rPr>
        <w:t xml:space="preserve"> 2021, during COVID-19 period. The legal heir of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Sh. Amit Garg, filed a writ petition bearing W.P. (C) No. 4654 of 2022, before this Court, wherein this Court vide order dated 23rd March, 2022, quashed the notice dated 25th April, 2021, issued under the erstwhile Section 148 of the Act, holding it to be null and void following the judgment of this Court in </w:t>
      </w:r>
      <w:r w:rsidRPr="003E01AA">
        <w:rPr>
          <w:rFonts w:ascii="Verdana" w:eastAsia="Times New Roman" w:hAnsi="Verdana" w:cs="Times New Roman"/>
          <w:b/>
          <w:bCs/>
          <w:i/>
          <w:iCs/>
          <w:color w:val="1A1A1A"/>
          <w:sz w:val="24"/>
          <w:szCs w:val="24"/>
          <w:lang w:eastAsia="en-IN" w:bidi="mr-IN"/>
        </w:rPr>
        <w:t xml:space="preserve">Mon Mohan Kohli v. Assistant Commissioner of Income Tax &amp; </w:t>
      </w:r>
      <w:proofErr w:type="spellStart"/>
      <w:r w:rsidRPr="003E01AA">
        <w:rPr>
          <w:rFonts w:ascii="Verdana" w:eastAsia="Times New Roman" w:hAnsi="Verdana" w:cs="Times New Roman"/>
          <w:b/>
          <w:bCs/>
          <w:i/>
          <w:iCs/>
          <w:color w:val="1A1A1A"/>
          <w:sz w:val="24"/>
          <w:szCs w:val="24"/>
          <w:lang w:eastAsia="en-IN" w:bidi="mr-IN"/>
        </w:rPr>
        <w:t>Anr</w:t>
      </w:r>
      <w:proofErr w:type="spellEnd"/>
      <w:r w:rsidRPr="003E01AA">
        <w:rPr>
          <w:rFonts w:ascii="Verdana" w:eastAsia="Times New Roman" w:hAnsi="Verdana" w:cs="Times New Roman"/>
          <w:b/>
          <w:bCs/>
          <w:i/>
          <w:iCs/>
          <w:color w:val="1A1A1A"/>
          <w:sz w:val="24"/>
          <w:szCs w:val="24"/>
          <w:lang w:eastAsia="en-IN" w:bidi="mr-IN"/>
        </w:rPr>
        <w:t xml:space="preserve">., 2021 SCC </w:t>
      </w:r>
      <w:proofErr w:type="spellStart"/>
      <w:r w:rsidRPr="003E01AA">
        <w:rPr>
          <w:rFonts w:ascii="Verdana" w:eastAsia="Times New Roman" w:hAnsi="Verdana" w:cs="Times New Roman"/>
          <w:b/>
          <w:bCs/>
          <w:i/>
          <w:iCs/>
          <w:color w:val="1A1A1A"/>
          <w:sz w:val="24"/>
          <w:szCs w:val="24"/>
          <w:lang w:eastAsia="en-IN" w:bidi="mr-IN"/>
        </w:rPr>
        <w:t>OnLine</w:t>
      </w:r>
      <w:proofErr w:type="spellEnd"/>
      <w:r w:rsidRPr="003E01AA">
        <w:rPr>
          <w:rFonts w:ascii="Verdana" w:eastAsia="Times New Roman" w:hAnsi="Verdana" w:cs="Times New Roman"/>
          <w:b/>
          <w:bCs/>
          <w:i/>
          <w:iCs/>
          <w:color w:val="1A1A1A"/>
          <w:sz w:val="24"/>
          <w:szCs w:val="24"/>
          <w:lang w:eastAsia="en-IN" w:bidi="mr-IN"/>
        </w:rPr>
        <w:t xml:space="preserve"> Del 5250</w:t>
      </w:r>
      <w:r w:rsidRPr="003E01AA">
        <w:rPr>
          <w:rFonts w:ascii="Verdana" w:eastAsia="Times New Roman" w:hAnsi="Verdana" w:cs="Times New Roman"/>
          <w:color w:val="1A1A1A"/>
          <w:sz w:val="24"/>
          <w:szCs w:val="24"/>
          <w:lang w:eastAsia="en-IN" w:bidi="mr-IN"/>
        </w:rPr>
        <w:t>.</w:t>
      </w:r>
    </w:p>
    <w:p w14:paraId="03402C59"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4. Subsequently, the Respondent in pursuance of the directions given by the Supreme Court in the case of </w:t>
      </w:r>
      <w:r w:rsidRPr="003E01AA">
        <w:rPr>
          <w:rFonts w:ascii="Verdana" w:eastAsia="Times New Roman" w:hAnsi="Verdana" w:cs="Times New Roman"/>
          <w:b/>
          <w:bCs/>
          <w:i/>
          <w:iCs/>
          <w:color w:val="1A1A1A"/>
          <w:sz w:val="24"/>
          <w:szCs w:val="24"/>
          <w:lang w:eastAsia="en-IN" w:bidi="mr-IN"/>
        </w:rPr>
        <w:t>Union of India v. Ashish Agarwal, (2022) SCC Online SC 543</w:t>
      </w:r>
      <w:r w:rsidRPr="003E01AA">
        <w:rPr>
          <w:rFonts w:ascii="Verdana" w:eastAsia="Times New Roman" w:hAnsi="Verdana" w:cs="Times New Roman"/>
          <w:color w:val="1A1A1A"/>
          <w:sz w:val="24"/>
          <w:szCs w:val="24"/>
          <w:lang w:eastAsia="en-IN" w:bidi="mr-IN"/>
        </w:rPr>
        <w:t xml:space="preserve">, construed the initial notice dated 25th April, 2021, to be a Show Cause Notice (‘SCN’) in terms of Section 148A(b) of the Act, and in continuation issued a notice dated 1st June, 2022, furnishing information in accordance with the order of the Supreme Court in </w:t>
      </w:r>
      <w:r w:rsidRPr="003E01AA">
        <w:rPr>
          <w:rFonts w:ascii="Verdana" w:eastAsia="Times New Roman" w:hAnsi="Verdana" w:cs="Times New Roman"/>
          <w:b/>
          <w:bCs/>
          <w:i/>
          <w:iCs/>
          <w:color w:val="1A1A1A"/>
          <w:sz w:val="24"/>
          <w:szCs w:val="24"/>
          <w:lang w:eastAsia="en-IN" w:bidi="mr-IN"/>
        </w:rPr>
        <w:t>Ashish Agarwal</w:t>
      </w:r>
      <w:r w:rsidRPr="003E01AA">
        <w:rPr>
          <w:rFonts w:ascii="Verdana" w:eastAsia="Times New Roman" w:hAnsi="Verdana" w:cs="Times New Roman"/>
          <w:color w:val="1A1A1A"/>
          <w:sz w:val="24"/>
          <w:szCs w:val="24"/>
          <w:lang w:eastAsia="en-IN" w:bidi="mr-IN"/>
        </w:rPr>
        <w:t xml:space="preserve"> (Supra). A reply dated 25th April, 2022 was filed to the said notice through a Chartered Accountant (‘CA’), informing the AO that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had since passed away on 24th June, 2021 and also replied on the merits of the issue, and that no proceedings can be continued against a dead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w:t>
      </w:r>
    </w:p>
    <w:p w14:paraId="4FF1F8EB"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5. The AO thereafter, passed an order dated 28th July, 2022, taking note of the death of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and amended the addressee to read as </w:t>
      </w:r>
      <w:r w:rsidRPr="003E01AA">
        <w:rPr>
          <w:rFonts w:ascii="Verdana" w:eastAsia="Times New Roman" w:hAnsi="Verdana" w:cs="Times New Roman"/>
          <w:i/>
          <w:iCs/>
          <w:color w:val="1A1A1A"/>
          <w:sz w:val="24"/>
          <w:szCs w:val="24"/>
          <w:lang w:eastAsia="en-IN" w:bidi="mr-IN"/>
        </w:rPr>
        <w:t>‘Vijaya Garg through Legal Heir Sh. Amit Garg, F-52, East of Kailash-110065, Delhi, India’</w:t>
      </w:r>
      <w:r w:rsidRPr="003E01AA">
        <w:rPr>
          <w:rFonts w:ascii="Verdana" w:eastAsia="Times New Roman" w:hAnsi="Verdana" w:cs="Times New Roman"/>
          <w:color w:val="1A1A1A"/>
          <w:sz w:val="24"/>
          <w:szCs w:val="24"/>
          <w:lang w:eastAsia="en-IN" w:bidi="mr-IN"/>
        </w:rPr>
        <w:t xml:space="preserve"> opining that the legal heir, Sh. Amit Garg is liable to comply with the present proceedings and consequently issued a notice dated 29th July, 2022, as well in the name of </w:t>
      </w:r>
      <w:r w:rsidRPr="003E01AA">
        <w:rPr>
          <w:rFonts w:ascii="Verdana" w:eastAsia="Times New Roman" w:hAnsi="Verdana" w:cs="Times New Roman"/>
          <w:i/>
          <w:iCs/>
          <w:color w:val="1A1A1A"/>
          <w:sz w:val="24"/>
          <w:szCs w:val="24"/>
          <w:lang w:eastAsia="en-IN" w:bidi="mr-IN"/>
        </w:rPr>
        <w:t>‘Vijaya Garg through Legal Heir Sh. Amit Garg, F-52, East of Kailash-110065, Delhi, India’</w:t>
      </w:r>
      <w:r w:rsidRPr="003E01AA">
        <w:rPr>
          <w:rFonts w:ascii="Verdana" w:eastAsia="Times New Roman" w:hAnsi="Verdana" w:cs="Times New Roman"/>
          <w:color w:val="1A1A1A"/>
          <w:sz w:val="24"/>
          <w:szCs w:val="24"/>
          <w:lang w:eastAsia="en-IN" w:bidi="mr-IN"/>
        </w:rPr>
        <w:t xml:space="preserve"> under Section 148 of the Act.</w:t>
      </w:r>
    </w:p>
    <w:p w14:paraId="10E73E1F"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6. Learned Counsel appearing on behalf of the Petitioner, Sh. Amit Garg i.e. the legal heir of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contends that the notice dated 01st </w:t>
      </w:r>
      <w:proofErr w:type="gramStart"/>
      <w:r w:rsidRPr="003E01AA">
        <w:rPr>
          <w:rFonts w:ascii="Verdana" w:eastAsia="Times New Roman" w:hAnsi="Verdana" w:cs="Times New Roman"/>
          <w:color w:val="1A1A1A"/>
          <w:sz w:val="24"/>
          <w:szCs w:val="24"/>
          <w:lang w:eastAsia="en-IN" w:bidi="mr-IN"/>
        </w:rPr>
        <w:t>June,</w:t>
      </w:r>
      <w:proofErr w:type="gramEnd"/>
      <w:r w:rsidRPr="003E01AA">
        <w:rPr>
          <w:rFonts w:ascii="Verdana" w:eastAsia="Times New Roman" w:hAnsi="Verdana" w:cs="Times New Roman"/>
          <w:color w:val="1A1A1A"/>
          <w:sz w:val="24"/>
          <w:szCs w:val="24"/>
          <w:lang w:eastAsia="en-IN" w:bidi="mr-IN"/>
        </w:rPr>
        <w:t xml:space="preserve"> 2022, furnishing the information, issued in the name of the dead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is invalid. He contends it is a </w:t>
      </w:r>
      <w:r w:rsidRPr="003E01AA">
        <w:rPr>
          <w:rFonts w:ascii="Verdana" w:eastAsia="Times New Roman" w:hAnsi="Verdana" w:cs="Times New Roman"/>
          <w:i/>
          <w:iCs/>
          <w:color w:val="1A1A1A"/>
          <w:sz w:val="24"/>
          <w:szCs w:val="24"/>
          <w:lang w:eastAsia="en-IN" w:bidi="mr-IN"/>
        </w:rPr>
        <w:t>sine qua non</w:t>
      </w:r>
      <w:r w:rsidRPr="003E01AA">
        <w:rPr>
          <w:rFonts w:ascii="Verdana" w:eastAsia="Times New Roman" w:hAnsi="Verdana" w:cs="Times New Roman"/>
          <w:color w:val="1A1A1A"/>
          <w:sz w:val="24"/>
          <w:szCs w:val="24"/>
          <w:lang w:eastAsia="en-IN" w:bidi="mr-IN"/>
        </w:rPr>
        <w:t xml:space="preserve"> that the notice </w:t>
      </w:r>
      <w:proofErr w:type="gramStart"/>
      <w:r w:rsidRPr="003E01AA">
        <w:rPr>
          <w:rFonts w:ascii="Verdana" w:eastAsia="Times New Roman" w:hAnsi="Verdana" w:cs="Times New Roman"/>
          <w:color w:val="1A1A1A"/>
          <w:sz w:val="24"/>
          <w:szCs w:val="24"/>
          <w:lang w:eastAsia="en-IN" w:bidi="mr-IN"/>
        </w:rPr>
        <w:t>has to</w:t>
      </w:r>
      <w:proofErr w:type="gramEnd"/>
      <w:r w:rsidRPr="003E01AA">
        <w:rPr>
          <w:rFonts w:ascii="Verdana" w:eastAsia="Times New Roman" w:hAnsi="Verdana" w:cs="Times New Roman"/>
          <w:color w:val="1A1A1A"/>
          <w:sz w:val="24"/>
          <w:szCs w:val="24"/>
          <w:lang w:eastAsia="en-IN" w:bidi="mr-IN"/>
        </w:rPr>
        <w:t xml:space="preserve"> be issued in the name of correct and alive person, failing which, the entire proceeding is vitiated as void-ab-initio, being issued in the name of dead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He sought to place reliance on the decision of this Court in </w:t>
      </w:r>
      <w:r w:rsidRPr="003E01AA">
        <w:rPr>
          <w:rFonts w:ascii="Verdana" w:eastAsia="Times New Roman" w:hAnsi="Verdana" w:cs="Times New Roman"/>
          <w:b/>
          <w:bCs/>
          <w:i/>
          <w:iCs/>
          <w:color w:val="1A1A1A"/>
          <w:sz w:val="24"/>
          <w:szCs w:val="24"/>
          <w:lang w:eastAsia="en-IN" w:bidi="mr-IN"/>
        </w:rPr>
        <w:t xml:space="preserve">Sangeeta </w:t>
      </w:r>
      <w:proofErr w:type="spellStart"/>
      <w:r w:rsidRPr="003E01AA">
        <w:rPr>
          <w:rFonts w:ascii="Verdana" w:eastAsia="Times New Roman" w:hAnsi="Verdana" w:cs="Times New Roman"/>
          <w:b/>
          <w:bCs/>
          <w:i/>
          <w:iCs/>
          <w:color w:val="1A1A1A"/>
          <w:sz w:val="24"/>
          <w:szCs w:val="24"/>
          <w:lang w:eastAsia="en-IN" w:bidi="mr-IN"/>
        </w:rPr>
        <w:t>Vig</w:t>
      </w:r>
      <w:proofErr w:type="spellEnd"/>
      <w:r w:rsidRPr="003E01AA">
        <w:rPr>
          <w:rFonts w:ascii="Verdana" w:eastAsia="Times New Roman" w:hAnsi="Verdana" w:cs="Times New Roman"/>
          <w:b/>
          <w:bCs/>
          <w:i/>
          <w:iCs/>
          <w:color w:val="1A1A1A"/>
          <w:sz w:val="24"/>
          <w:szCs w:val="24"/>
          <w:lang w:eastAsia="en-IN" w:bidi="mr-IN"/>
        </w:rPr>
        <w:t xml:space="preserve"> v. ITO, Ward 28(5), (2022) SCC Online Del 1776</w:t>
      </w:r>
      <w:r w:rsidRPr="003E01AA">
        <w:rPr>
          <w:rFonts w:ascii="Verdana" w:eastAsia="Times New Roman" w:hAnsi="Verdana" w:cs="Times New Roman"/>
          <w:color w:val="1A1A1A"/>
          <w:sz w:val="24"/>
          <w:szCs w:val="24"/>
          <w:lang w:eastAsia="en-IN" w:bidi="mr-IN"/>
        </w:rPr>
        <w:t xml:space="preserve">, to state that the notice issued under Section 148A(b) of the Act, in the name of a dead </w:t>
      </w:r>
      <w:proofErr w:type="spellStart"/>
      <w:r w:rsidRPr="003E01AA">
        <w:rPr>
          <w:rFonts w:ascii="Verdana" w:eastAsia="Times New Roman" w:hAnsi="Verdana" w:cs="Times New Roman"/>
          <w:color w:val="1A1A1A"/>
          <w:sz w:val="24"/>
          <w:szCs w:val="24"/>
          <w:lang w:eastAsia="en-IN" w:bidi="mr-IN"/>
        </w:rPr>
        <w:t>assesseee</w:t>
      </w:r>
      <w:proofErr w:type="spellEnd"/>
      <w:r w:rsidRPr="003E01AA">
        <w:rPr>
          <w:rFonts w:ascii="Verdana" w:eastAsia="Times New Roman" w:hAnsi="Verdana" w:cs="Times New Roman"/>
          <w:color w:val="1A1A1A"/>
          <w:sz w:val="24"/>
          <w:szCs w:val="24"/>
          <w:lang w:eastAsia="en-IN" w:bidi="mr-IN"/>
        </w:rPr>
        <w:t xml:space="preserve"> is null and void.</w:t>
      </w:r>
    </w:p>
    <w:p w14:paraId="1246E137"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7. </w:t>
      </w:r>
      <w:proofErr w:type="gramStart"/>
      <w:r w:rsidRPr="003E01AA">
        <w:rPr>
          <w:rFonts w:ascii="Verdana" w:eastAsia="Times New Roman" w:hAnsi="Verdana" w:cs="Times New Roman"/>
          <w:color w:val="1A1A1A"/>
          <w:sz w:val="24"/>
          <w:szCs w:val="24"/>
          <w:lang w:eastAsia="en-IN" w:bidi="mr-IN"/>
        </w:rPr>
        <w:t>Abhishek Maratha,</w:t>
      </w:r>
      <w:proofErr w:type="gramEnd"/>
      <w:r w:rsidRPr="003E01AA">
        <w:rPr>
          <w:rFonts w:ascii="Verdana" w:eastAsia="Times New Roman" w:hAnsi="Verdana" w:cs="Times New Roman"/>
          <w:color w:val="1A1A1A"/>
          <w:sz w:val="24"/>
          <w:szCs w:val="24"/>
          <w:lang w:eastAsia="en-IN" w:bidi="mr-IN"/>
        </w:rPr>
        <w:t xml:space="preserve"> learned Counsel for the Revenue appears on advance notice.</w:t>
      </w:r>
    </w:p>
    <w:p w14:paraId="443AA610"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lastRenderedPageBreak/>
        <w:t xml:space="preserve">7.1. We have heard the learned Counsel for the parties. The contention raised by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that the notice dated 1</w:t>
      </w:r>
      <w:r w:rsidRPr="003E01AA">
        <w:rPr>
          <w:rFonts w:ascii="Verdana" w:eastAsia="Times New Roman" w:hAnsi="Verdana" w:cs="Times New Roman"/>
          <w:color w:val="1A1A1A"/>
          <w:sz w:val="24"/>
          <w:szCs w:val="24"/>
          <w:vertAlign w:val="superscript"/>
          <w:lang w:eastAsia="en-IN" w:bidi="mr-IN"/>
        </w:rPr>
        <w:t>st</w:t>
      </w:r>
      <w:r w:rsidRPr="003E01AA">
        <w:rPr>
          <w:rFonts w:ascii="Verdana" w:eastAsia="Times New Roman" w:hAnsi="Verdana" w:cs="Times New Roman"/>
          <w:color w:val="1A1A1A"/>
          <w:sz w:val="24"/>
          <w:szCs w:val="24"/>
          <w:lang w:eastAsia="en-IN" w:bidi="mr-IN"/>
        </w:rPr>
        <w:t xml:space="preserve"> </w:t>
      </w:r>
      <w:proofErr w:type="gramStart"/>
      <w:r w:rsidRPr="003E01AA">
        <w:rPr>
          <w:rFonts w:ascii="Verdana" w:eastAsia="Times New Roman" w:hAnsi="Verdana" w:cs="Times New Roman"/>
          <w:color w:val="1A1A1A"/>
          <w:sz w:val="24"/>
          <w:szCs w:val="24"/>
          <w:lang w:eastAsia="en-IN" w:bidi="mr-IN"/>
        </w:rPr>
        <w:t>June,</w:t>
      </w:r>
      <w:proofErr w:type="gramEnd"/>
      <w:r w:rsidRPr="003E01AA">
        <w:rPr>
          <w:rFonts w:ascii="Verdana" w:eastAsia="Times New Roman" w:hAnsi="Verdana" w:cs="Times New Roman"/>
          <w:color w:val="1A1A1A"/>
          <w:sz w:val="24"/>
          <w:szCs w:val="24"/>
          <w:lang w:eastAsia="en-IN" w:bidi="mr-IN"/>
        </w:rPr>
        <w:t xml:space="preserve"> 2022, furnishing information has been issued in the name of the dead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and thus, consequent proceedings are void, does not persuade us.</w:t>
      </w:r>
    </w:p>
    <w:p w14:paraId="19019EAA"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The Supreme Court disposed of the case of </w:t>
      </w:r>
      <w:r w:rsidRPr="003E01AA">
        <w:rPr>
          <w:rFonts w:ascii="Verdana" w:eastAsia="Times New Roman" w:hAnsi="Verdana" w:cs="Times New Roman"/>
          <w:b/>
          <w:bCs/>
          <w:i/>
          <w:iCs/>
          <w:color w:val="1A1A1A"/>
          <w:sz w:val="24"/>
          <w:szCs w:val="24"/>
          <w:lang w:eastAsia="en-IN" w:bidi="mr-IN"/>
        </w:rPr>
        <w:t xml:space="preserve">Ashish Agarwal </w:t>
      </w:r>
      <w:r w:rsidRPr="003E01AA">
        <w:rPr>
          <w:rFonts w:ascii="Verdana" w:eastAsia="Times New Roman" w:hAnsi="Verdana" w:cs="Times New Roman"/>
          <w:color w:val="1A1A1A"/>
          <w:sz w:val="24"/>
          <w:szCs w:val="24"/>
          <w:lang w:eastAsia="en-IN" w:bidi="mr-IN"/>
        </w:rPr>
        <w:t>(Supra), with the direction that the notice(s) issued under erstwhile Section 148 of the Act, between 01</w:t>
      </w:r>
      <w:r w:rsidRPr="003E01AA">
        <w:rPr>
          <w:rFonts w:ascii="Verdana" w:eastAsia="Times New Roman" w:hAnsi="Verdana" w:cs="Times New Roman"/>
          <w:color w:val="1A1A1A"/>
          <w:sz w:val="24"/>
          <w:szCs w:val="24"/>
          <w:vertAlign w:val="superscript"/>
          <w:lang w:eastAsia="en-IN" w:bidi="mr-IN"/>
        </w:rPr>
        <w:t>st</w:t>
      </w:r>
      <w:r w:rsidRPr="003E01AA">
        <w:rPr>
          <w:rFonts w:ascii="Verdana" w:eastAsia="Times New Roman" w:hAnsi="Verdana" w:cs="Times New Roman"/>
          <w:color w:val="1A1A1A"/>
          <w:sz w:val="24"/>
          <w:szCs w:val="24"/>
          <w:lang w:eastAsia="en-IN" w:bidi="mr-IN"/>
        </w:rPr>
        <w:t xml:space="preserve"> </w:t>
      </w:r>
      <w:proofErr w:type="gramStart"/>
      <w:r w:rsidRPr="003E01AA">
        <w:rPr>
          <w:rFonts w:ascii="Verdana" w:eastAsia="Times New Roman" w:hAnsi="Verdana" w:cs="Times New Roman"/>
          <w:color w:val="1A1A1A"/>
          <w:sz w:val="24"/>
          <w:szCs w:val="24"/>
          <w:lang w:eastAsia="en-IN" w:bidi="mr-IN"/>
        </w:rPr>
        <w:t>April,</w:t>
      </w:r>
      <w:proofErr w:type="gramEnd"/>
      <w:r w:rsidRPr="003E01AA">
        <w:rPr>
          <w:rFonts w:ascii="Verdana" w:eastAsia="Times New Roman" w:hAnsi="Verdana" w:cs="Times New Roman"/>
          <w:color w:val="1A1A1A"/>
          <w:sz w:val="24"/>
          <w:szCs w:val="24"/>
          <w:lang w:eastAsia="en-IN" w:bidi="mr-IN"/>
        </w:rPr>
        <w:t xml:space="preserve"> 2021 and 30</w:t>
      </w:r>
      <w:r w:rsidRPr="003E01AA">
        <w:rPr>
          <w:rFonts w:ascii="Verdana" w:eastAsia="Times New Roman" w:hAnsi="Verdana" w:cs="Times New Roman"/>
          <w:color w:val="1A1A1A"/>
          <w:sz w:val="24"/>
          <w:szCs w:val="24"/>
          <w:vertAlign w:val="superscript"/>
          <w:lang w:eastAsia="en-IN" w:bidi="mr-IN"/>
        </w:rPr>
        <w:t>th</w:t>
      </w:r>
      <w:r w:rsidRPr="003E01AA">
        <w:rPr>
          <w:rFonts w:ascii="Verdana" w:eastAsia="Times New Roman" w:hAnsi="Verdana" w:cs="Times New Roman"/>
          <w:color w:val="1A1A1A"/>
          <w:sz w:val="24"/>
          <w:szCs w:val="24"/>
          <w:lang w:eastAsia="en-IN" w:bidi="mr-IN"/>
        </w:rPr>
        <w:t xml:space="preserve"> </w:t>
      </w:r>
      <w:proofErr w:type="gramStart"/>
      <w:r w:rsidRPr="003E01AA">
        <w:rPr>
          <w:rFonts w:ascii="Verdana" w:eastAsia="Times New Roman" w:hAnsi="Verdana" w:cs="Times New Roman"/>
          <w:color w:val="1A1A1A"/>
          <w:sz w:val="24"/>
          <w:szCs w:val="24"/>
          <w:lang w:eastAsia="en-IN" w:bidi="mr-IN"/>
        </w:rPr>
        <w:t>June,</w:t>
      </w:r>
      <w:proofErr w:type="gramEnd"/>
      <w:r w:rsidRPr="003E01AA">
        <w:rPr>
          <w:rFonts w:ascii="Verdana" w:eastAsia="Times New Roman" w:hAnsi="Verdana" w:cs="Times New Roman"/>
          <w:color w:val="1A1A1A"/>
          <w:sz w:val="24"/>
          <w:szCs w:val="24"/>
          <w:lang w:eastAsia="en-IN" w:bidi="mr-IN"/>
        </w:rPr>
        <w:t xml:space="preserve"> 2021, are to be construed as SCN under Section 148A(b) of the Act. Therefore, the present proceedings are in continuation of earlier notice dated 25</w:t>
      </w:r>
      <w:r w:rsidRPr="003E01AA">
        <w:rPr>
          <w:rFonts w:ascii="Verdana" w:eastAsia="Times New Roman" w:hAnsi="Verdana" w:cs="Times New Roman"/>
          <w:color w:val="1A1A1A"/>
          <w:sz w:val="24"/>
          <w:szCs w:val="24"/>
          <w:vertAlign w:val="superscript"/>
          <w:lang w:eastAsia="en-IN" w:bidi="mr-IN"/>
        </w:rPr>
        <w:t>th</w:t>
      </w:r>
      <w:r w:rsidRPr="003E01AA">
        <w:rPr>
          <w:rFonts w:ascii="Verdana" w:eastAsia="Times New Roman" w:hAnsi="Verdana" w:cs="Times New Roman"/>
          <w:color w:val="1A1A1A"/>
          <w:sz w:val="24"/>
          <w:szCs w:val="24"/>
          <w:lang w:eastAsia="en-IN" w:bidi="mr-IN"/>
        </w:rPr>
        <w:t xml:space="preserve"> </w:t>
      </w:r>
      <w:proofErr w:type="gramStart"/>
      <w:r w:rsidRPr="003E01AA">
        <w:rPr>
          <w:rFonts w:ascii="Verdana" w:eastAsia="Times New Roman" w:hAnsi="Verdana" w:cs="Times New Roman"/>
          <w:color w:val="1A1A1A"/>
          <w:sz w:val="24"/>
          <w:szCs w:val="24"/>
          <w:lang w:eastAsia="en-IN" w:bidi="mr-IN"/>
        </w:rPr>
        <w:t>April,</w:t>
      </w:r>
      <w:proofErr w:type="gramEnd"/>
      <w:r w:rsidRPr="003E01AA">
        <w:rPr>
          <w:rFonts w:ascii="Verdana" w:eastAsia="Times New Roman" w:hAnsi="Verdana" w:cs="Times New Roman"/>
          <w:color w:val="1A1A1A"/>
          <w:sz w:val="24"/>
          <w:szCs w:val="24"/>
          <w:lang w:eastAsia="en-IN" w:bidi="mr-IN"/>
        </w:rPr>
        <w:t xml:space="preserve"> 2021 i.e., at the time when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was alive.</w:t>
      </w:r>
    </w:p>
    <w:p w14:paraId="6E3093FB"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7.2. The Petitioner herein Mr. Amit Garg is admittedly the legal heir of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and upon being apprised of the death of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the Assessing Officer (AO) has passed the order dated 28</w:t>
      </w:r>
      <w:r w:rsidRPr="003E01AA">
        <w:rPr>
          <w:rFonts w:ascii="Verdana" w:eastAsia="Times New Roman" w:hAnsi="Verdana" w:cs="Times New Roman"/>
          <w:color w:val="1A1A1A"/>
          <w:sz w:val="24"/>
          <w:szCs w:val="24"/>
          <w:vertAlign w:val="superscript"/>
          <w:lang w:eastAsia="en-IN" w:bidi="mr-IN"/>
        </w:rPr>
        <w:t>th</w:t>
      </w:r>
      <w:r w:rsidRPr="003E01AA">
        <w:rPr>
          <w:rFonts w:ascii="Verdana" w:eastAsia="Times New Roman" w:hAnsi="Verdana" w:cs="Times New Roman"/>
          <w:color w:val="1A1A1A"/>
          <w:sz w:val="24"/>
          <w:szCs w:val="24"/>
          <w:lang w:eastAsia="en-IN" w:bidi="mr-IN"/>
        </w:rPr>
        <w:t xml:space="preserve"> July, 2022, under Section 148A(d) of the Act and notice dated 29</w:t>
      </w:r>
      <w:r w:rsidRPr="003E01AA">
        <w:rPr>
          <w:rFonts w:ascii="Verdana" w:eastAsia="Times New Roman" w:hAnsi="Verdana" w:cs="Times New Roman"/>
          <w:color w:val="1A1A1A"/>
          <w:sz w:val="24"/>
          <w:szCs w:val="24"/>
          <w:vertAlign w:val="superscript"/>
          <w:lang w:eastAsia="en-IN" w:bidi="mr-IN"/>
        </w:rPr>
        <w:t>th</w:t>
      </w:r>
      <w:r w:rsidRPr="003E01AA">
        <w:rPr>
          <w:rFonts w:ascii="Verdana" w:eastAsia="Times New Roman" w:hAnsi="Verdana" w:cs="Times New Roman"/>
          <w:color w:val="1A1A1A"/>
          <w:sz w:val="24"/>
          <w:szCs w:val="24"/>
          <w:lang w:eastAsia="en-IN" w:bidi="mr-IN"/>
        </w:rPr>
        <w:t xml:space="preserve"> July, 2022, under Section 148 of the Act, in the name of </w:t>
      </w:r>
      <w:r w:rsidRPr="003E01AA">
        <w:rPr>
          <w:rFonts w:ascii="Verdana" w:eastAsia="Times New Roman" w:hAnsi="Verdana" w:cs="Times New Roman"/>
          <w:i/>
          <w:iCs/>
          <w:color w:val="1A1A1A"/>
          <w:sz w:val="24"/>
          <w:szCs w:val="24"/>
          <w:lang w:eastAsia="en-IN" w:bidi="mr-IN"/>
        </w:rPr>
        <w:t xml:space="preserve">‘Vijaya Garg through Legal Heir Sh. Amit Garg’ </w:t>
      </w:r>
      <w:r w:rsidRPr="003E01AA">
        <w:rPr>
          <w:rFonts w:ascii="Verdana" w:eastAsia="Times New Roman" w:hAnsi="Verdana" w:cs="Times New Roman"/>
          <w:color w:val="1A1A1A"/>
          <w:sz w:val="24"/>
          <w:szCs w:val="24"/>
          <w:lang w:eastAsia="en-IN" w:bidi="mr-IN"/>
        </w:rPr>
        <w:t xml:space="preserve">and has thus taken steps as mandated by Section 159 of the Act to continue the assessment proceedings against the legal representative of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The relevant extract of Section 159(2)(a) of the Act is reproduced hereinunder: –</w:t>
      </w:r>
    </w:p>
    <w:p w14:paraId="58A9F52D"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i/>
          <w:iCs/>
          <w:color w:val="1A1A1A"/>
          <w:sz w:val="24"/>
          <w:szCs w:val="24"/>
          <w:lang w:eastAsia="en-IN" w:bidi="mr-IN"/>
        </w:rPr>
        <w:t>“159. ….</w:t>
      </w:r>
    </w:p>
    <w:p w14:paraId="0B2F95E5"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i/>
          <w:iCs/>
          <w:color w:val="1A1A1A"/>
          <w:sz w:val="24"/>
          <w:szCs w:val="24"/>
          <w:lang w:eastAsia="en-IN" w:bidi="mr-IN"/>
        </w:rPr>
        <w:t xml:space="preserve">(2) For the purpose of making an assessment (including an assessment, reassessment or </w:t>
      </w:r>
      <w:proofErr w:type="spellStart"/>
      <w:r w:rsidRPr="003E01AA">
        <w:rPr>
          <w:rFonts w:ascii="Verdana" w:eastAsia="Times New Roman" w:hAnsi="Verdana" w:cs="Times New Roman"/>
          <w:i/>
          <w:iCs/>
          <w:color w:val="1A1A1A"/>
          <w:sz w:val="24"/>
          <w:szCs w:val="24"/>
          <w:lang w:eastAsia="en-IN" w:bidi="mr-IN"/>
        </w:rPr>
        <w:t>recomputation</w:t>
      </w:r>
      <w:proofErr w:type="spellEnd"/>
      <w:r w:rsidRPr="003E01AA">
        <w:rPr>
          <w:rFonts w:ascii="Verdana" w:eastAsia="Times New Roman" w:hAnsi="Verdana" w:cs="Times New Roman"/>
          <w:i/>
          <w:iCs/>
          <w:color w:val="1A1A1A"/>
          <w:sz w:val="24"/>
          <w:szCs w:val="24"/>
          <w:lang w:eastAsia="en-IN" w:bidi="mr-IN"/>
        </w:rPr>
        <w:t xml:space="preserve"> under section 147) of the income of the deceased and for the purpose of levying any sum in the hands of the legal representative in accordance with the provision of sub-section (1</w:t>
      </w:r>
      <w:proofErr w:type="gramStart"/>
      <w:r w:rsidRPr="003E01AA">
        <w:rPr>
          <w:rFonts w:ascii="Verdana" w:eastAsia="Times New Roman" w:hAnsi="Verdana" w:cs="Times New Roman"/>
          <w:i/>
          <w:iCs/>
          <w:color w:val="1A1A1A"/>
          <w:sz w:val="24"/>
          <w:szCs w:val="24"/>
          <w:lang w:eastAsia="en-IN" w:bidi="mr-IN"/>
        </w:rPr>
        <w:t>),-</w:t>
      </w:r>
      <w:proofErr w:type="gramEnd"/>
    </w:p>
    <w:p w14:paraId="3B961DCD"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i/>
          <w:iCs/>
          <w:color w:val="1A1A1A"/>
          <w:sz w:val="24"/>
          <w:szCs w:val="24"/>
          <w:lang w:eastAsia="en-IN" w:bidi="mr-IN"/>
        </w:rPr>
        <w:t xml:space="preserve">(a) </w:t>
      </w:r>
      <w:r w:rsidRPr="003E01AA">
        <w:rPr>
          <w:rFonts w:ascii="Verdana" w:eastAsia="Times New Roman" w:hAnsi="Verdana" w:cs="Times New Roman"/>
          <w:i/>
          <w:iCs/>
          <w:color w:val="1A1A1A"/>
          <w:sz w:val="24"/>
          <w:szCs w:val="24"/>
          <w:u w:val="single"/>
          <w:lang w:eastAsia="en-IN" w:bidi="mr-IN"/>
        </w:rPr>
        <w:t> any proceeding taken against the deceased before his death shall be deemed to have been taken against the legal representative and may be continued against the legal representative from the stage at which it stood on the date of the death of the deceased;</w:t>
      </w:r>
      <w:r w:rsidRPr="003E01AA">
        <w:rPr>
          <w:rFonts w:ascii="Verdana" w:eastAsia="Times New Roman" w:hAnsi="Verdana" w:cs="Times New Roman"/>
          <w:i/>
          <w:iCs/>
          <w:color w:val="1A1A1A"/>
          <w:sz w:val="24"/>
          <w:szCs w:val="24"/>
          <w:u w:val="single"/>
          <w:lang w:eastAsia="en-IN" w:bidi="mr-IN"/>
        </w:rPr>
        <w:br/>
      </w:r>
      <w:r w:rsidRPr="003E01AA">
        <w:rPr>
          <w:rFonts w:ascii="Verdana" w:eastAsia="Times New Roman" w:hAnsi="Verdana" w:cs="Times New Roman"/>
          <w:i/>
          <w:iCs/>
          <w:color w:val="1A1A1A"/>
          <w:sz w:val="24"/>
          <w:szCs w:val="24"/>
          <w:lang w:eastAsia="en-IN" w:bidi="mr-IN"/>
        </w:rPr>
        <w:t>……”</w:t>
      </w:r>
    </w:p>
    <w:p w14:paraId="09021060"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b/>
          <w:bCs/>
          <w:color w:val="1A1A1A"/>
          <w:sz w:val="24"/>
          <w:szCs w:val="24"/>
          <w:lang w:eastAsia="en-IN" w:bidi="mr-IN"/>
        </w:rPr>
        <w:t>(Emphasis supplied)</w:t>
      </w:r>
    </w:p>
    <w:p w14:paraId="2F3AF09E"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7.3. Since the present assessment proceedings are in continuation of the initial notice dated 25</w:t>
      </w:r>
      <w:r w:rsidRPr="003E01AA">
        <w:rPr>
          <w:rFonts w:ascii="Verdana" w:eastAsia="Times New Roman" w:hAnsi="Verdana" w:cs="Times New Roman"/>
          <w:color w:val="1A1A1A"/>
          <w:sz w:val="24"/>
          <w:szCs w:val="24"/>
          <w:vertAlign w:val="superscript"/>
          <w:lang w:eastAsia="en-IN" w:bidi="mr-IN"/>
        </w:rPr>
        <w:t>th</w:t>
      </w:r>
      <w:r w:rsidRPr="003E01AA">
        <w:rPr>
          <w:rFonts w:ascii="Verdana" w:eastAsia="Times New Roman" w:hAnsi="Verdana" w:cs="Times New Roman"/>
          <w:color w:val="1A1A1A"/>
          <w:sz w:val="24"/>
          <w:szCs w:val="24"/>
          <w:lang w:eastAsia="en-IN" w:bidi="mr-IN"/>
        </w:rPr>
        <w:t xml:space="preserve"> </w:t>
      </w:r>
      <w:proofErr w:type="gramStart"/>
      <w:r w:rsidRPr="003E01AA">
        <w:rPr>
          <w:rFonts w:ascii="Verdana" w:eastAsia="Times New Roman" w:hAnsi="Verdana" w:cs="Times New Roman"/>
          <w:color w:val="1A1A1A"/>
          <w:sz w:val="24"/>
          <w:szCs w:val="24"/>
          <w:lang w:eastAsia="en-IN" w:bidi="mr-IN"/>
        </w:rPr>
        <w:t>April,</w:t>
      </w:r>
      <w:proofErr w:type="gramEnd"/>
      <w:r w:rsidRPr="003E01AA">
        <w:rPr>
          <w:rFonts w:ascii="Verdana" w:eastAsia="Times New Roman" w:hAnsi="Verdana" w:cs="Times New Roman"/>
          <w:color w:val="1A1A1A"/>
          <w:sz w:val="24"/>
          <w:szCs w:val="24"/>
          <w:lang w:eastAsia="en-IN" w:bidi="mr-IN"/>
        </w:rPr>
        <w:t xml:space="preserve"> 2021, issued to the deceased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during her lifetime, the same can be continued against the legal representative from the stage at which it stood on the date of the death of the deceased so as to collect the tax from the estate of the deceased person. The Supreme Court in the </w:t>
      </w:r>
      <w:proofErr w:type="spellStart"/>
      <w:r w:rsidRPr="003E01AA">
        <w:rPr>
          <w:rFonts w:ascii="Verdana" w:eastAsia="Times New Roman" w:hAnsi="Verdana" w:cs="Times New Roman"/>
          <w:color w:val="1A1A1A"/>
          <w:sz w:val="24"/>
          <w:szCs w:val="24"/>
          <w:lang w:eastAsia="en-IN" w:bidi="mr-IN"/>
        </w:rPr>
        <w:t>case</w:t>
      </w:r>
      <w:hyperlink r:id="rId8" w:tgtFrame="_blank" w:tooltip="Shabina Abraham and Others v Collector of Central Excise and Customs, Supreme Court judgment" w:history="1">
        <w:r w:rsidRPr="003E01AA">
          <w:rPr>
            <w:rFonts w:ascii="Verdana" w:eastAsia="Times New Roman" w:hAnsi="Verdana" w:cs="Times New Roman"/>
            <w:b/>
            <w:bCs/>
            <w:i/>
            <w:iCs/>
            <w:color w:val="2E75B5"/>
            <w:sz w:val="24"/>
            <w:szCs w:val="24"/>
            <w:u w:val="single"/>
            <w:lang w:eastAsia="en-IN" w:bidi="mr-IN"/>
          </w:rPr>
          <w:t>Shabina</w:t>
        </w:r>
        <w:proofErr w:type="spellEnd"/>
        <w:r w:rsidRPr="003E01AA">
          <w:rPr>
            <w:rFonts w:ascii="Verdana" w:eastAsia="Times New Roman" w:hAnsi="Verdana" w:cs="Times New Roman"/>
            <w:b/>
            <w:bCs/>
            <w:i/>
            <w:iCs/>
            <w:color w:val="2E75B5"/>
            <w:sz w:val="24"/>
            <w:szCs w:val="24"/>
            <w:u w:val="single"/>
            <w:lang w:eastAsia="en-IN" w:bidi="mr-IN"/>
          </w:rPr>
          <w:t xml:space="preserve"> Abraham &amp; Others v. Collector of Central Excise and Customs, (2015) 10 SCC 770</w:t>
        </w:r>
      </w:hyperlink>
      <w:r w:rsidRPr="003E01AA">
        <w:rPr>
          <w:rFonts w:ascii="Verdana" w:eastAsia="Times New Roman" w:hAnsi="Verdana" w:cs="Times New Roman"/>
          <w:b/>
          <w:bCs/>
          <w:i/>
          <w:iCs/>
          <w:color w:val="1A1A1A"/>
          <w:sz w:val="24"/>
          <w:szCs w:val="24"/>
          <w:lang w:eastAsia="en-IN" w:bidi="mr-IN"/>
        </w:rPr>
        <w:t> </w:t>
      </w:r>
      <w:r w:rsidRPr="003E01AA">
        <w:rPr>
          <w:rFonts w:ascii="Verdana" w:eastAsia="Times New Roman" w:hAnsi="Verdana" w:cs="Times New Roman"/>
          <w:color w:val="1A1A1A"/>
          <w:sz w:val="24"/>
          <w:szCs w:val="24"/>
          <w:lang w:eastAsia="en-IN" w:bidi="mr-IN"/>
        </w:rPr>
        <w:t>has concisely explained the said provision as under:</w:t>
      </w:r>
    </w:p>
    <w:p w14:paraId="032DAAA7"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b/>
          <w:bCs/>
          <w:i/>
          <w:iCs/>
          <w:color w:val="1A1A1A"/>
          <w:sz w:val="24"/>
          <w:szCs w:val="24"/>
          <w:lang w:eastAsia="en-IN" w:bidi="mr-IN"/>
        </w:rPr>
        <w:t>“</w:t>
      </w:r>
      <w:r w:rsidRPr="003E01AA">
        <w:rPr>
          <w:rFonts w:ascii="Verdana" w:eastAsia="Times New Roman" w:hAnsi="Verdana" w:cs="Times New Roman"/>
          <w:i/>
          <w:iCs/>
          <w:color w:val="1A1A1A"/>
          <w:sz w:val="24"/>
          <w:szCs w:val="24"/>
          <w:lang w:eastAsia="en-IN" w:bidi="mr-IN"/>
        </w:rPr>
        <w:t xml:space="preserve">16. It will be noticed that under Section 159(2), for the purpose of making any assessment, any proceeding taken against the deceased </w:t>
      </w:r>
      <w:r w:rsidRPr="003E01AA">
        <w:rPr>
          <w:rFonts w:ascii="Verdana" w:eastAsia="Times New Roman" w:hAnsi="Verdana" w:cs="Times New Roman"/>
          <w:i/>
          <w:iCs/>
          <w:color w:val="1A1A1A"/>
          <w:sz w:val="24"/>
          <w:szCs w:val="24"/>
          <w:lang w:eastAsia="en-IN" w:bidi="mr-IN"/>
        </w:rPr>
        <w:lastRenderedPageBreak/>
        <w:t>before his death is by deeming fiction deemed to have been taken against his legal representative and may be continued against the legal representative from the stage at which it stood on the date of the death of the deceased. Further, the legal representative under sub</w:t>
      </w:r>
      <w:r w:rsidRPr="003E01AA">
        <w:rPr>
          <w:rFonts w:ascii="Verdana" w:eastAsia="Times New Roman" w:hAnsi="Verdana" w:cs="Times New Roman"/>
          <w:i/>
          <w:iCs/>
          <w:color w:val="1A1A1A"/>
          <w:sz w:val="24"/>
          <w:szCs w:val="24"/>
          <w:lang w:eastAsia="en-IN" w:bidi="mr-IN"/>
        </w:rPr>
        <w:softHyphen/>
        <w:t xml:space="preserve">section (3) of Section 159 is again by deeming fiction deemed to be an </w:t>
      </w:r>
      <w:proofErr w:type="spellStart"/>
      <w:r w:rsidRPr="003E01AA">
        <w:rPr>
          <w:rFonts w:ascii="Verdana" w:eastAsia="Times New Roman" w:hAnsi="Verdana" w:cs="Times New Roman"/>
          <w:i/>
          <w:iCs/>
          <w:color w:val="1A1A1A"/>
          <w:sz w:val="24"/>
          <w:szCs w:val="24"/>
          <w:lang w:eastAsia="en-IN" w:bidi="mr-IN"/>
        </w:rPr>
        <w:t>assessee</w:t>
      </w:r>
      <w:proofErr w:type="spellEnd"/>
      <w:r w:rsidRPr="003E01AA">
        <w:rPr>
          <w:rFonts w:ascii="Verdana" w:eastAsia="Times New Roman" w:hAnsi="Verdana" w:cs="Times New Roman"/>
          <w:i/>
          <w:iCs/>
          <w:color w:val="1A1A1A"/>
          <w:sz w:val="24"/>
          <w:szCs w:val="24"/>
          <w:lang w:eastAsia="en-IN" w:bidi="mr-IN"/>
        </w:rPr>
        <w:t xml:space="preserve"> himself. However, the liability of such representative is limited only to the extent to which the estate left by the deceased </w:t>
      </w:r>
      <w:proofErr w:type="gramStart"/>
      <w:r w:rsidRPr="003E01AA">
        <w:rPr>
          <w:rFonts w:ascii="Verdana" w:eastAsia="Times New Roman" w:hAnsi="Verdana" w:cs="Times New Roman"/>
          <w:i/>
          <w:iCs/>
          <w:color w:val="1A1A1A"/>
          <w:sz w:val="24"/>
          <w:szCs w:val="24"/>
          <w:lang w:eastAsia="en-IN" w:bidi="mr-IN"/>
        </w:rPr>
        <w:t>is capable of meeting</w:t>
      </w:r>
      <w:proofErr w:type="gramEnd"/>
      <w:r w:rsidRPr="003E01AA">
        <w:rPr>
          <w:rFonts w:ascii="Verdana" w:eastAsia="Times New Roman" w:hAnsi="Verdana" w:cs="Times New Roman"/>
          <w:i/>
          <w:iCs/>
          <w:color w:val="1A1A1A"/>
          <w:sz w:val="24"/>
          <w:szCs w:val="24"/>
          <w:lang w:eastAsia="en-IN" w:bidi="mr-IN"/>
        </w:rPr>
        <w:t xml:space="preserve"> the tax liability subject to the contingencies mentioned in sub-sections (4) and (5) of Section 159.”</w:t>
      </w:r>
    </w:p>
    <w:p w14:paraId="09F88690"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8. Therefore, in light of the aforesaid provision, since, the initial notice dated 25</w:t>
      </w:r>
      <w:r w:rsidRPr="003E01AA">
        <w:rPr>
          <w:rFonts w:ascii="Verdana" w:eastAsia="Times New Roman" w:hAnsi="Verdana" w:cs="Times New Roman"/>
          <w:color w:val="1A1A1A"/>
          <w:sz w:val="24"/>
          <w:szCs w:val="24"/>
          <w:vertAlign w:val="superscript"/>
          <w:lang w:eastAsia="en-IN" w:bidi="mr-IN"/>
        </w:rPr>
        <w:t>th</w:t>
      </w:r>
      <w:r w:rsidRPr="003E01AA">
        <w:rPr>
          <w:rFonts w:ascii="Verdana" w:eastAsia="Times New Roman" w:hAnsi="Verdana" w:cs="Times New Roman"/>
          <w:color w:val="1A1A1A"/>
          <w:sz w:val="24"/>
          <w:szCs w:val="24"/>
          <w:lang w:eastAsia="en-IN" w:bidi="mr-IN"/>
        </w:rPr>
        <w:t xml:space="preserve"> </w:t>
      </w:r>
      <w:proofErr w:type="gramStart"/>
      <w:r w:rsidRPr="003E01AA">
        <w:rPr>
          <w:rFonts w:ascii="Verdana" w:eastAsia="Times New Roman" w:hAnsi="Verdana" w:cs="Times New Roman"/>
          <w:color w:val="1A1A1A"/>
          <w:sz w:val="24"/>
          <w:szCs w:val="24"/>
          <w:lang w:eastAsia="en-IN" w:bidi="mr-IN"/>
        </w:rPr>
        <w:t>April,</w:t>
      </w:r>
      <w:proofErr w:type="gramEnd"/>
      <w:r w:rsidRPr="003E01AA">
        <w:rPr>
          <w:rFonts w:ascii="Verdana" w:eastAsia="Times New Roman" w:hAnsi="Verdana" w:cs="Times New Roman"/>
          <w:color w:val="1A1A1A"/>
          <w:sz w:val="24"/>
          <w:szCs w:val="24"/>
          <w:lang w:eastAsia="en-IN" w:bidi="mr-IN"/>
        </w:rPr>
        <w:t xml:space="preserve"> 2022, was issued at the time when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was alive (the present proceedings are in continuation) and thus, the AO has rightfully amended the details of the addressee in its consequent order under Section 148A(d) and notice under Section 148 of the Act.</w:t>
      </w:r>
    </w:p>
    <w:p w14:paraId="1E4EF724"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9. Further, the reliance placed by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on the decision of this Court in </w:t>
      </w:r>
      <w:r w:rsidRPr="003E01AA">
        <w:rPr>
          <w:rFonts w:ascii="Verdana" w:eastAsia="Times New Roman" w:hAnsi="Verdana" w:cs="Times New Roman"/>
          <w:b/>
          <w:bCs/>
          <w:i/>
          <w:iCs/>
          <w:color w:val="1A1A1A"/>
          <w:sz w:val="24"/>
          <w:szCs w:val="24"/>
          <w:lang w:eastAsia="en-IN" w:bidi="mr-IN"/>
        </w:rPr>
        <w:t xml:space="preserve">Sangeeta </w:t>
      </w:r>
      <w:proofErr w:type="spellStart"/>
      <w:proofErr w:type="gramStart"/>
      <w:r w:rsidRPr="003E01AA">
        <w:rPr>
          <w:rFonts w:ascii="Verdana" w:eastAsia="Times New Roman" w:hAnsi="Verdana" w:cs="Times New Roman"/>
          <w:b/>
          <w:bCs/>
          <w:i/>
          <w:iCs/>
          <w:color w:val="1A1A1A"/>
          <w:sz w:val="24"/>
          <w:szCs w:val="24"/>
          <w:lang w:eastAsia="en-IN" w:bidi="mr-IN"/>
        </w:rPr>
        <w:t>Vig</w:t>
      </w:r>
      <w:proofErr w:type="spellEnd"/>
      <w:r w:rsidRPr="003E01AA">
        <w:rPr>
          <w:rFonts w:ascii="Verdana" w:eastAsia="Times New Roman" w:hAnsi="Verdana" w:cs="Times New Roman"/>
          <w:color w:val="1A1A1A"/>
          <w:sz w:val="24"/>
          <w:szCs w:val="24"/>
          <w:lang w:eastAsia="en-IN" w:bidi="mr-IN"/>
        </w:rPr>
        <w:t>(</w:t>
      </w:r>
      <w:proofErr w:type="gramEnd"/>
      <w:r w:rsidRPr="003E01AA">
        <w:rPr>
          <w:rFonts w:ascii="Verdana" w:eastAsia="Times New Roman" w:hAnsi="Verdana" w:cs="Times New Roman"/>
          <w:color w:val="1A1A1A"/>
          <w:sz w:val="24"/>
          <w:szCs w:val="24"/>
          <w:lang w:eastAsia="en-IN" w:bidi="mr-IN"/>
        </w:rPr>
        <w:t xml:space="preserve">Supra) in misplaced since in that case the initial notice under the erstwhile Section 148 of the Act, was issued at a time when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was dead. However, in the present case, as noted above, the </w:t>
      </w:r>
      <w:proofErr w:type="spellStart"/>
      <w:r w:rsidRPr="003E01AA">
        <w:rPr>
          <w:rFonts w:ascii="Verdana" w:eastAsia="Times New Roman" w:hAnsi="Verdana" w:cs="Times New Roman"/>
          <w:color w:val="1A1A1A"/>
          <w:sz w:val="24"/>
          <w:szCs w:val="24"/>
          <w:lang w:eastAsia="en-IN" w:bidi="mr-IN"/>
        </w:rPr>
        <w:t>assessee</w:t>
      </w:r>
      <w:proofErr w:type="spellEnd"/>
      <w:r w:rsidRPr="003E01AA">
        <w:rPr>
          <w:rFonts w:ascii="Verdana" w:eastAsia="Times New Roman" w:hAnsi="Verdana" w:cs="Times New Roman"/>
          <w:color w:val="1A1A1A"/>
          <w:sz w:val="24"/>
          <w:szCs w:val="24"/>
          <w:lang w:eastAsia="en-IN" w:bidi="mr-IN"/>
        </w:rPr>
        <w:t xml:space="preserve"> was alive at the time of the issuance of initial notice under erstwhile Section 148 of the Act.</w:t>
      </w:r>
    </w:p>
    <w:p w14:paraId="566BECB8"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 xml:space="preserve">10. Accordingly, the writ petition is disposed </w:t>
      </w:r>
      <w:proofErr w:type="spellStart"/>
      <w:r w:rsidRPr="003E01AA">
        <w:rPr>
          <w:rFonts w:ascii="Verdana" w:eastAsia="Times New Roman" w:hAnsi="Verdana" w:cs="Times New Roman"/>
          <w:color w:val="1A1A1A"/>
          <w:sz w:val="24"/>
          <w:szCs w:val="24"/>
          <w:lang w:eastAsia="en-IN" w:bidi="mr-IN"/>
        </w:rPr>
        <w:t>off</w:t>
      </w:r>
      <w:proofErr w:type="spellEnd"/>
      <w:r w:rsidRPr="003E01AA">
        <w:rPr>
          <w:rFonts w:ascii="Verdana" w:eastAsia="Times New Roman" w:hAnsi="Verdana" w:cs="Times New Roman"/>
          <w:color w:val="1A1A1A"/>
          <w:sz w:val="24"/>
          <w:szCs w:val="24"/>
          <w:lang w:eastAsia="en-IN" w:bidi="mr-IN"/>
        </w:rPr>
        <w:t>.</w:t>
      </w:r>
    </w:p>
    <w:p w14:paraId="056538D5" w14:textId="77777777" w:rsidR="003E01AA" w:rsidRPr="003E01AA" w:rsidRDefault="003E01AA" w:rsidP="003E01AA">
      <w:pPr>
        <w:spacing w:before="100" w:beforeAutospacing="1" w:after="100" w:afterAutospacing="1" w:line="240" w:lineRule="auto"/>
        <w:rPr>
          <w:rFonts w:ascii="Verdana" w:eastAsia="Times New Roman" w:hAnsi="Verdana" w:cs="Times New Roman"/>
          <w:color w:val="1A1A1A"/>
          <w:sz w:val="24"/>
          <w:szCs w:val="24"/>
          <w:lang w:eastAsia="en-IN" w:bidi="mr-IN"/>
        </w:rPr>
      </w:pPr>
      <w:r w:rsidRPr="003E01AA">
        <w:rPr>
          <w:rFonts w:ascii="Verdana" w:eastAsia="Times New Roman" w:hAnsi="Verdana" w:cs="Times New Roman"/>
          <w:color w:val="1A1A1A"/>
          <w:sz w:val="24"/>
          <w:szCs w:val="24"/>
          <w:lang w:eastAsia="en-IN" w:bidi="mr-IN"/>
        </w:rPr>
        <w:t>11. This Court clarifies that all rights and contentions of the parties on the merits of the issue are left open except the legal issue of continuation of the assessment proceedings against the legal representative as determined in these proceedings.</w:t>
      </w:r>
    </w:p>
    <w:p w14:paraId="0CF5ABB0" w14:textId="59C53828" w:rsidR="00F779B5" w:rsidRDefault="003E01AA">
      <w:r>
        <w:t xml:space="preserve">--------------- </w:t>
      </w:r>
    </w:p>
    <w:sectPr w:rsidR="00F779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C72D7"/>
    <w:multiLevelType w:val="multilevel"/>
    <w:tmpl w:val="844C0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6571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XYj1YV5t3qTwfZexwWzy5VvHv5ObPHzdnh5XbGhQT6DOxhJKede2pHnwm73qGXDW4/kOdIYgCIusoF3BPEROJQ==" w:salt="V4n4uyGbonhqBXnJo0iUh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1AA"/>
    <w:rsid w:val="003E01AA"/>
    <w:rsid w:val="00A2136D"/>
    <w:rsid w:val="00CA2328"/>
    <w:rsid w:val="00F05DC9"/>
    <w:rsid w:val="00F779B5"/>
    <w:rsid w:val="00FA65AF"/>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FB546"/>
  <w15:chartTrackingRefBased/>
  <w15:docId w15:val="{C9E80CA8-9101-4B3C-A498-3D560861C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01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01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01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01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01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01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1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1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1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1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01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01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01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01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01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1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1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1AA"/>
    <w:rPr>
      <w:rFonts w:eastAsiaTheme="majorEastAsia" w:cstheme="majorBidi"/>
      <w:color w:val="272727" w:themeColor="text1" w:themeTint="D8"/>
    </w:rPr>
  </w:style>
  <w:style w:type="paragraph" w:styleId="Title">
    <w:name w:val="Title"/>
    <w:basedOn w:val="Normal"/>
    <w:next w:val="Normal"/>
    <w:link w:val="TitleChar"/>
    <w:uiPriority w:val="10"/>
    <w:qFormat/>
    <w:rsid w:val="003E01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1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1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1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1AA"/>
    <w:pPr>
      <w:spacing w:before="160"/>
      <w:jc w:val="center"/>
    </w:pPr>
    <w:rPr>
      <w:i/>
      <w:iCs/>
      <w:color w:val="404040" w:themeColor="text1" w:themeTint="BF"/>
    </w:rPr>
  </w:style>
  <w:style w:type="character" w:customStyle="1" w:styleId="QuoteChar">
    <w:name w:val="Quote Char"/>
    <w:basedOn w:val="DefaultParagraphFont"/>
    <w:link w:val="Quote"/>
    <w:uiPriority w:val="29"/>
    <w:rsid w:val="003E01AA"/>
    <w:rPr>
      <w:i/>
      <w:iCs/>
      <w:color w:val="404040" w:themeColor="text1" w:themeTint="BF"/>
    </w:rPr>
  </w:style>
  <w:style w:type="paragraph" w:styleId="ListParagraph">
    <w:name w:val="List Paragraph"/>
    <w:basedOn w:val="Normal"/>
    <w:uiPriority w:val="34"/>
    <w:qFormat/>
    <w:rsid w:val="003E01AA"/>
    <w:pPr>
      <w:ind w:left="720"/>
      <w:contextualSpacing/>
    </w:pPr>
  </w:style>
  <w:style w:type="character" w:styleId="IntenseEmphasis">
    <w:name w:val="Intense Emphasis"/>
    <w:basedOn w:val="DefaultParagraphFont"/>
    <w:uiPriority w:val="21"/>
    <w:qFormat/>
    <w:rsid w:val="003E01AA"/>
    <w:rPr>
      <w:i/>
      <w:iCs/>
      <w:color w:val="0F4761" w:themeColor="accent1" w:themeShade="BF"/>
    </w:rPr>
  </w:style>
  <w:style w:type="paragraph" w:styleId="IntenseQuote">
    <w:name w:val="Intense Quote"/>
    <w:basedOn w:val="Normal"/>
    <w:next w:val="Normal"/>
    <w:link w:val="IntenseQuoteChar"/>
    <w:uiPriority w:val="30"/>
    <w:qFormat/>
    <w:rsid w:val="003E01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1AA"/>
    <w:rPr>
      <w:i/>
      <w:iCs/>
      <w:color w:val="0F4761" w:themeColor="accent1" w:themeShade="BF"/>
    </w:rPr>
  </w:style>
  <w:style w:type="character" w:styleId="IntenseReference">
    <w:name w:val="Intense Reference"/>
    <w:basedOn w:val="DefaultParagraphFont"/>
    <w:uiPriority w:val="32"/>
    <w:qFormat/>
    <w:rsid w:val="003E01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xguru.in/excise-duty/death-excise-duty-sc.html" TargetMode="External"/><Relationship Id="rId3" Type="http://schemas.openxmlformats.org/officeDocument/2006/relationships/settings" Target="settings.xml"/><Relationship Id="rId7" Type="http://schemas.openxmlformats.org/officeDocument/2006/relationships/hyperlink" Target="https://taxguru.in/income-tax/delhi-hc-dismisses-reassessment-notices-issued-31-03-2021-1346-cas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uru.in/excise-duty/death-excise-duty-sc.html" TargetMode="External"/><Relationship Id="rId5" Type="http://schemas.openxmlformats.org/officeDocument/2006/relationships/hyperlink" Target="https://taxguru.in/corporate-law/reassessment-initiated-assessees-death-continue-against-legal-heir-delhi-hc.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2344</Words>
  <Characters>13367</Characters>
  <Application>Microsoft Office Word</Application>
  <DocSecurity>8</DocSecurity>
  <Lines>111</Lines>
  <Paragraphs>31</Paragraphs>
  <ScaleCrop>false</ScaleCrop>
  <Company/>
  <LinksUpToDate>false</LinksUpToDate>
  <CharactersWithSpaces>15680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Tikotekar</dc:creator>
  <cp:keywords/>
  <dc:description/>
  <cp:lastModifiedBy>Anil Tikotekar</cp:lastModifiedBy>
  <cp:revision>2</cp:revision>
  <dcterms:created xsi:type="dcterms:W3CDTF">2026-11-03T12:20:00Z</dcterms:created>
  <dcterms:modified xsi:type="dcterms:W3CDTF">2026-11-03T12:24:00Z</dcterms:modified>
</cp:coreProperties>
</file>