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F0557" w14:textId="4DB87F98" w:rsidR="009E5F3E" w:rsidRDefault="009E5F3E" w:rsidP="009E5F3E">
      <w:pPr>
        <w:shd w:val="clear" w:color="auto" w:fill="F3F2F1"/>
        <w:spacing w:after="0" w:line="240" w:lineRule="auto"/>
        <w:rPr>
          <w:rFonts w:ascii="Segoe UI" w:eastAsia="Times New Roman" w:hAnsi="Segoe UI" w:cs="Segoe UI"/>
          <w:color w:val="7321A6"/>
          <w:sz w:val="23"/>
          <w:szCs w:val="23"/>
          <w:lang w:eastAsia="en-IN"/>
        </w:rPr>
      </w:pPr>
      <w:r w:rsidRPr="009E5F3E">
        <w:rPr>
          <w:rFonts w:ascii="Segoe UI" w:eastAsia="Times New Roman" w:hAnsi="Segoe UI" w:cs="Segoe UI"/>
          <w:color w:val="7321A6"/>
          <w:sz w:val="23"/>
          <w:szCs w:val="23"/>
          <w:lang w:eastAsia="en-IN"/>
        </w:rPr>
        <w:t>Lower repo rate link to lending - Opinion News | The Financial Express</w:t>
      </w:r>
    </w:p>
    <w:p w14:paraId="4059A488" w14:textId="77777777" w:rsidR="009E5F3E" w:rsidRDefault="009E5F3E" w:rsidP="009E5F3E">
      <w:pPr>
        <w:shd w:val="clear" w:color="auto" w:fill="F3F2F1"/>
        <w:spacing w:after="0" w:line="240" w:lineRule="auto"/>
        <w:rPr>
          <w:rFonts w:ascii="Segoe UI" w:eastAsia="Times New Roman" w:hAnsi="Segoe UI" w:cs="Segoe UI"/>
          <w:color w:val="7321A6"/>
          <w:sz w:val="23"/>
          <w:szCs w:val="23"/>
          <w:lang w:eastAsia="en-IN"/>
        </w:rPr>
      </w:pPr>
    </w:p>
    <w:p w14:paraId="6F515267" w14:textId="0D25D2A7" w:rsidR="009E5F3E" w:rsidRPr="009E5F3E" w:rsidRDefault="009E5F3E" w:rsidP="009E5F3E">
      <w:pPr>
        <w:shd w:val="clear" w:color="auto" w:fill="F3F2F1"/>
        <w:spacing w:after="0" w:line="240" w:lineRule="auto"/>
        <w:rPr>
          <w:rFonts w:ascii="Segoe UI" w:eastAsia="Times New Roman" w:hAnsi="Segoe UI" w:cs="Segoe UI"/>
          <w:color w:val="7321A6"/>
          <w:sz w:val="23"/>
          <w:szCs w:val="23"/>
          <w:lang w:eastAsia="en-IN"/>
        </w:rPr>
      </w:pPr>
      <w:r w:rsidRPr="009E5F3E">
        <w:rPr>
          <w:rFonts w:ascii="Segoe UI" w:eastAsia="Times New Roman" w:hAnsi="Segoe UI" w:cs="Segoe UI"/>
          <w:color w:val="7321A6"/>
          <w:sz w:val="23"/>
          <w:szCs w:val="23"/>
          <w:lang w:eastAsia="en-IN"/>
        </w:rPr>
        <w:t>Clipped from: </w:t>
      </w:r>
      <w:hyperlink r:id="rId6" w:tgtFrame="_blank" w:history="1">
        <w:r w:rsidRPr="009E5F3E">
          <w:rPr>
            <w:rFonts w:ascii="Segoe UI" w:eastAsia="Times New Roman" w:hAnsi="Segoe UI" w:cs="Segoe UI"/>
            <w:color w:val="0000FF"/>
            <w:sz w:val="23"/>
            <w:szCs w:val="23"/>
            <w:lang w:eastAsia="en-IN"/>
          </w:rPr>
          <w:t>https://www.financialexpress.com/opinion/lower-repo-rate-link-to-lending/4085730/</w:t>
        </w:r>
      </w:hyperlink>
    </w:p>
    <w:p w14:paraId="1DD31D86" w14:textId="77777777" w:rsidR="009E5F3E" w:rsidRPr="009E5F3E" w:rsidRDefault="009E5F3E" w:rsidP="009E5F3E">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9E5F3E">
        <w:rPr>
          <w:rFonts w:ascii="Calibri" w:eastAsia="Times New Roman" w:hAnsi="Calibri" w:cs="Calibri"/>
          <w:color w:val="2E75B5"/>
          <w:sz w:val="27"/>
          <w:szCs w:val="27"/>
          <w:lang w:eastAsia="en-IN"/>
        </w:rPr>
        <w:t xml:space="preserve">Interest rates do affect growth in </w:t>
      </w:r>
      <w:proofErr w:type="gramStart"/>
      <w:r w:rsidRPr="009E5F3E">
        <w:rPr>
          <w:rFonts w:ascii="Calibri" w:eastAsia="Times New Roman" w:hAnsi="Calibri" w:cs="Calibri"/>
          <w:color w:val="2E75B5"/>
          <w:sz w:val="27"/>
          <w:szCs w:val="27"/>
          <w:lang w:eastAsia="en-IN"/>
        </w:rPr>
        <w:t>credit, but</w:t>
      </w:r>
      <w:proofErr w:type="gramEnd"/>
      <w:r w:rsidRPr="009E5F3E">
        <w:rPr>
          <w:rFonts w:ascii="Calibri" w:eastAsia="Times New Roman" w:hAnsi="Calibri" w:cs="Calibri"/>
          <w:color w:val="2E75B5"/>
          <w:sz w:val="27"/>
          <w:szCs w:val="27"/>
          <w:lang w:eastAsia="en-IN"/>
        </w:rPr>
        <w:t xml:space="preserve"> may not be the clinching factor.</w:t>
      </w:r>
    </w:p>
    <w:p w14:paraId="47206AEE" w14:textId="7881EB7E" w:rsidR="009E5F3E" w:rsidRPr="009E5F3E" w:rsidRDefault="009E5F3E" w:rsidP="009E5F3E">
      <w:pPr>
        <w:spacing w:after="0" w:line="240" w:lineRule="auto"/>
        <w:textAlignment w:val="baseline"/>
        <w:rPr>
          <w:rFonts w:ascii="Verdana" w:eastAsia="Times New Roman" w:hAnsi="Verdana" w:cs="Times New Roman"/>
          <w:color w:val="EE0000"/>
          <w:sz w:val="24"/>
          <w:szCs w:val="24"/>
          <w:lang w:eastAsia="en-IN"/>
        </w:rPr>
      </w:pPr>
      <w:r w:rsidRPr="009E5F3E">
        <w:rPr>
          <w:rFonts w:ascii="Verdana" w:eastAsia="Times New Roman" w:hAnsi="Verdana" w:cs="Times New Roman"/>
          <w:color w:val="EE0000"/>
          <w:sz w:val="24"/>
          <w:szCs w:val="24"/>
          <w:lang w:eastAsia="en-IN"/>
        </w:rPr>
        <w:t>Reduction in repo rate in phases such as FY13, FY14-18, and FY19-22 did not witness an upsurge in bank credit growth.</w:t>
      </w:r>
    </w:p>
    <w:p w14:paraId="41B310B7"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9E5F3E">
        <w:rPr>
          <w:rFonts w:ascii="Verdana" w:eastAsia="Times New Roman" w:hAnsi="Verdana" w:cs="Times New Roman"/>
          <w:color w:val="000000"/>
          <w:sz w:val="24"/>
          <w:szCs w:val="24"/>
          <w:lang w:eastAsia="en-IN"/>
        </w:rPr>
        <w:t>With the </w:t>
      </w:r>
      <w:hyperlink r:id="rId7" w:history="1">
        <w:r w:rsidRPr="009E5F3E">
          <w:rPr>
            <w:rFonts w:ascii="Verdana" w:eastAsia="Times New Roman" w:hAnsi="Verdana" w:cs="Times New Roman"/>
            <w:color w:val="0000FF"/>
            <w:sz w:val="24"/>
            <w:szCs w:val="24"/>
            <w:u w:val="single"/>
            <w:lang w:eastAsia="en-IN"/>
          </w:rPr>
          <w:t>repo rate</w:t>
        </w:r>
      </w:hyperlink>
      <w:r w:rsidRPr="009E5F3E">
        <w:rPr>
          <w:rFonts w:ascii="Verdana" w:eastAsia="Times New Roman" w:hAnsi="Verdana" w:cs="Times New Roman"/>
          <w:color w:val="000000"/>
          <w:sz w:val="24"/>
          <w:szCs w:val="24"/>
          <w:lang w:eastAsia="en-IN"/>
        </w:rPr>
        <w:t xml:space="preserve"> being lowered by 125 basis points (bps) within this year and bank lending rates coming down, there is strong reason to believe that lending should pick up substantially, according to conventional wisdom. </w:t>
      </w:r>
      <w:r w:rsidRPr="009E5F3E">
        <w:rPr>
          <w:rFonts w:ascii="Verdana" w:eastAsia="Times New Roman" w:hAnsi="Verdana" w:cs="Times New Roman"/>
          <w:color w:val="EE0000"/>
          <w:sz w:val="24"/>
          <w:szCs w:val="24"/>
          <w:lang w:eastAsia="en-IN"/>
        </w:rPr>
        <w:t>In this context, it is useful to see how the system has reacted in the past to the lowering of the repo rate</w:t>
      </w:r>
      <w:r w:rsidRPr="009E5F3E">
        <w:rPr>
          <w:rFonts w:ascii="Verdana" w:eastAsia="Times New Roman" w:hAnsi="Verdana" w:cs="Times New Roman"/>
          <w:color w:val="000000"/>
          <w:sz w:val="24"/>
          <w:szCs w:val="24"/>
          <w:lang w:eastAsia="en-IN"/>
        </w:rPr>
        <w:t>.</w:t>
      </w:r>
    </w:p>
    <w:p w14:paraId="0D9517AC"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9E5F3E">
        <w:rPr>
          <w:rFonts w:ascii="Verdana" w:eastAsia="Times New Roman" w:hAnsi="Verdana" w:cs="Times New Roman"/>
          <w:color w:val="EE0000"/>
          <w:sz w:val="24"/>
          <w:szCs w:val="24"/>
          <w:lang w:eastAsia="en-IN"/>
        </w:rPr>
        <w:t xml:space="preserve">Data for the last 15 years reveals an interesting picture. Growth in credit tended to be the highest when the repo rate was increased. </w:t>
      </w:r>
      <w:r w:rsidRPr="009E5F3E">
        <w:rPr>
          <w:rFonts w:ascii="Verdana" w:eastAsia="Times New Roman" w:hAnsi="Verdana" w:cs="Times New Roman"/>
          <w:color w:val="000000"/>
          <w:sz w:val="24"/>
          <w:szCs w:val="24"/>
          <w:lang w:eastAsia="en-IN"/>
        </w:rPr>
        <w:t>During FY10-12, it averaged 18.8% when the repo rate was increased by 350 bps to 8.5%. In FY19, when the rate was increased from 6 to 6.25%, credit grew by 26.6%. The next highest growth rate was in FY24, when the repo rate was increased by 250 bps as credit grew by 17.8%.</w:t>
      </w:r>
    </w:p>
    <w:p w14:paraId="2BB9D722" w14:textId="77777777" w:rsidR="009E5F3E" w:rsidRPr="009E5F3E" w:rsidRDefault="009E5F3E" w:rsidP="009E5F3E">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9E5F3E">
        <w:rPr>
          <w:rFonts w:ascii="Calibri" w:eastAsia="Times New Roman" w:hAnsi="Calibri" w:cs="Calibri"/>
          <w:color w:val="2E75B5"/>
          <w:sz w:val="27"/>
          <w:szCs w:val="27"/>
          <w:lang w:eastAsia="en-IN"/>
        </w:rPr>
        <w:t>Rate cuts fail to lift credit</w:t>
      </w:r>
    </w:p>
    <w:p w14:paraId="137F0F4B"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9E5F3E">
        <w:rPr>
          <w:rFonts w:ascii="Verdana" w:eastAsia="Times New Roman" w:hAnsi="Verdana" w:cs="Times New Roman"/>
          <w:color w:val="EE0000"/>
          <w:sz w:val="24"/>
          <w:szCs w:val="24"/>
          <w:lang w:eastAsia="en-IN"/>
        </w:rPr>
        <w:t xml:space="preserve">Reduction in repo rate in phases such as FY13, FY14-18, and FY19-22 did not witness an upsurge in bank credit growth. </w:t>
      </w:r>
      <w:r w:rsidRPr="009E5F3E">
        <w:rPr>
          <w:rFonts w:ascii="Verdana" w:eastAsia="Times New Roman" w:hAnsi="Verdana" w:cs="Times New Roman"/>
          <w:color w:val="000000"/>
          <w:sz w:val="24"/>
          <w:szCs w:val="24"/>
          <w:lang w:eastAsia="en-IN"/>
        </w:rPr>
        <w:t>The last period was during the Covid-19 phase as banks went all out to provide credit to customers with several schemes also being engineered by the government through the guarantee and targeted repo operations. Yet, growth tended to be sluggish—merely 6.8%.</w:t>
      </w:r>
    </w:p>
    <w:p w14:paraId="0C7A5EDB"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9E5F3E">
        <w:rPr>
          <w:rFonts w:ascii="Verdana" w:eastAsia="Times New Roman" w:hAnsi="Verdana" w:cs="Times New Roman"/>
          <w:color w:val="EE0000"/>
          <w:sz w:val="24"/>
          <w:szCs w:val="24"/>
          <w:lang w:eastAsia="en-IN"/>
        </w:rPr>
        <w:t>The answer really lies in demand for credit. Entities borrow money only when there is a necessity</w:t>
      </w:r>
      <w:r w:rsidRPr="009E5F3E">
        <w:rPr>
          <w:rFonts w:ascii="Verdana" w:eastAsia="Times New Roman" w:hAnsi="Verdana" w:cs="Times New Roman"/>
          <w:color w:val="000000"/>
          <w:sz w:val="24"/>
          <w:szCs w:val="24"/>
          <w:lang w:eastAsia="en-IN"/>
        </w:rPr>
        <w:t xml:space="preserve">. Therefore, a deep dive shows, there have been differential responses across sectors to the repo rate changes. Industry has responded with less alacrity when demand for their products was sluggish, meaning there was spare capacity in several segments. </w:t>
      </w:r>
      <w:r w:rsidRPr="009E5F3E">
        <w:rPr>
          <w:rFonts w:ascii="Verdana" w:eastAsia="Times New Roman" w:hAnsi="Verdana" w:cs="Times New Roman"/>
          <w:color w:val="EE0000"/>
          <w:sz w:val="24"/>
          <w:szCs w:val="24"/>
          <w:lang w:eastAsia="en-IN"/>
        </w:rPr>
        <w:t>However, when credit growth was high in periods of high repo rates, it did not matter really as the economy was doing very well and there were fresh capacities planned, especially in the heavy industries for the future.</w:t>
      </w:r>
    </w:p>
    <w:p w14:paraId="4D95AA49"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9E5F3E">
        <w:rPr>
          <w:rFonts w:ascii="Verdana" w:eastAsia="Times New Roman" w:hAnsi="Verdana" w:cs="Times New Roman"/>
          <w:color w:val="000000"/>
          <w:sz w:val="24"/>
          <w:szCs w:val="24"/>
          <w:lang w:eastAsia="en-IN"/>
        </w:rPr>
        <w:t>Double-digit growth in credit to industry was witnessed till FY14, after which there was a distinct slowdown, especially after the </w:t>
      </w:r>
      <w:hyperlink r:id="rId8" w:history="1">
        <w:r w:rsidRPr="009E5F3E">
          <w:rPr>
            <w:rFonts w:ascii="Verdana" w:eastAsia="Times New Roman" w:hAnsi="Verdana" w:cs="Times New Roman"/>
            <w:color w:val="0000FF"/>
            <w:sz w:val="24"/>
            <w:szCs w:val="24"/>
            <w:u w:val="single"/>
            <w:lang w:eastAsia="en-IN"/>
          </w:rPr>
          <w:t>Reserve Bank of India </w:t>
        </w:r>
      </w:hyperlink>
      <w:r w:rsidRPr="009E5F3E">
        <w:rPr>
          <w:rFonts w:ascii="Verdana" w:eastAsia="Times New Roman" w:hAnsi="Verdana" w:cs="Times New Roman"/>
          <w:color w:val="000000"/>
          <w:sz w:val="24"/>
          <w:szCs w:val="24"/>
          <w:lang w:eastAsia="en-IN"/>
        </w:rPr>
        <w:t xml:space="preserve">introduced the asset quality review in the light of high non-performing assets in the banking sector. </w:t>
      </w:r>
      <w:r w:rsidRPr="009E5F3E">
        <w:rPr>
          <w:rFonts w:ascii="Verdana" w:eastAsia="Times New Roman" w:hAnsi="Verdana" w:cs="Times New Roman"/>
          <w:color w:val="EE0000"/>
          <w:sz w:val="24"/>
          <w:szCs w:val="24"/>
          <w:lang w:eastAsia="en-IN"/>
        </w:rPr>
        <w:t>Not surprisingly, growth in credit to industry (dominated by large corporates) has never crossed the double-digit mark subsequently</w:t>
      </w:r>
      <w:r w:rsidRPr="009E5F3E">
        <w:rPr>
          <w:rFonts w:ascii="Verdana" w:eastAsia="Times New Roman" w:hAnsi="Verdana" w:cs="Times New Roman"/>
          <w:color w:val="000000"/>
          <w:sz w:val="24"/>
          <w:szCs w:val="24"/>
          <w:lang w:eastAsia="en-IN"/>
        </w:rPr>
        <w:t xml:space="preserve">. The micro, small, and medium </w:t>
      </w:r>
      <w:r w:rsidRPr="009E5F3E">
        <w:rPr>
          <w:rFonts w:ascii="Verdana" w:eastAsia="Times New Roman" w:hAnsi="Verdana" w:cs="Times New Roman"/>
          <w:color w:val="000000"/>
          <w:sz w:val="24"/>
          <w:szCs w:val="24"/>
          <w:lang w:eastAsia="en-IN"/>
        </w:rPr>
        <w:lastRenderedPageBreak/>
        <w:t>enterprises, however, have witnessed a credit boom due to the myriad policies introduced to channel credit to this segment.</w:t>
      </w:r>
    </w:p>
    <w:p w14:paraId="01B28B3D"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EE0000"/>
          <w:sz w:val="24"/>
          <w:szCs w:val="24"/>
          <w:lang w:eastAsia="en-IN"/>
        </w:rPr>
      </w:pPr>
      <w:r w:rsidRPr="009E5F3E">
        <w:rPr>
          <w:rFonts w:ascii="Verdana" w:eastAsia="Times New Roman" w:hAnsi="Verdana" w:cs="Times New Roman"/>
          <w:color w:val="EE0000"/>
          <w:sz w:val="24"/>
          <w:szCs w:val="24"/>
          <w:lang w:eastAsia="en-IN"/>
        </w:rPr>
        <w:t>It can be concluded that borrowings by industry will be linked to excess capacity in companies and overall demand outlook. While the corporate debt market has become popular in the past five years, more than two-thirds of the issuances (and at times close to 80%) gets accounted for by the financial sector</w:t>
      </w:r>
      <w:r w:rsidRPr="009E5F3E">
        <w:rPr>
          <w:rFonts w:ascii="Verdana" w:eastAsia="Times New Roman" w:hAnsi="Verdana" w:cs="Times New Roman"/>
          <w:color w:val="000000"/>
          <w:sz w:val="24"/>
          <w:szCs w:val="24"/>
          <w:lang w:eastAsia="en-IN"/>
        </w:rPr>
        <w:t xml:space="preserve">. It is not that there has been any major migration across markets. </w:t>
      </w:r>
      <w:r w:rsidRPr="009E5F3E">
        <w:rPr>
          <w:rFonts w:ascii="Verdana" w:eastAsia="Times New Roman" w:hAnsi="Verdana" w:cs="Times New Roman"/>
          <w:color w:val="EE0000"/>
          <w:sz w:val="24"/>
          <w:szCs w:val="24"/>
          <w:lang w:eastAsia="en-IN"/>
        </w:rPr>
        <w:t>The important thing is that spare capacity does not provide an incentive to invest in more machinery, and this also gets reflected in the gross fixed capital formation rates, which have remained around 27-30% since FY15. It was only post-Covid-19 that this rate crossed the 30% mark.</w:t>
      </w:r>
    </w:p>
    <w:p w14:paraId="39945909"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EE0000"/>
          <w:sz w:val="24"/>
          <w:szCs w:val="24"/>
          <w:lang w:eastAsia="en-IN"/>
        </w:rPr>
      </w:pPr>
      <w:r w:rsidRPr="009E5F3E">
        <w:rPr>
          <w:rFonts w:ascii="Verdana" w:eastAsia="Times New Roman" w:hAnsi="Verdana" w:cs="Times New Roman"/>
          <w:color w:val="000000"/>
          <w:sz w:val="24"/>
          <w:szCs w:val="24"/>
          <w:lang w:eastAsia="en-IN"/>
        </w:rPr>
        <w:t xml:space="preserve">In parallel, an interesting finding is that the </w:t>
      </w:r>
      <w:r w:rsidRPr="009E5F3E">
        <w:rPr>
          <w:rFonts w:ascii="Verdana" w:eastAsia="Times New Roman" w:hAnsi="Verdana" w:cs="Times New Roman"/>
          <w:color w:val="EE0000"/>
          <w:sz w:val="24"/>
          <w:szCs w:val="24"/>
          <w:lang w:eastAsia="en-IN"/>
        </w:rPr>
        <w:t xml:space="preserve">retail segment has been more buoyant when it comes to growth in credit, and the response to interest rate changes has been more than commensurate. </w:t>
      </w:r>
      <w:r w:rsidRPr="009E5F3E">
        <w:rPr>
          <w:rFonts w:ascii="Verdana" w:eastAsia="Times New Roman" w:hAnsi="Verdana" w:cs="Times New Roman"/>
          <w:color w:val="000000"/>
          <w:sz w:val="24"/>
          <w:szCs w:val="24"/>
          <w:lang w:eastAsia="en-IN"/>
        </w:rPr>
        <w:t xml:space="preserve">A double-digit growth rate was consistently maintained through this period, with growth being very impressive post-FY19, when the External Benchmark Lending Rate scheme came in. </w:t>
      </w:r>
      <w:r w:rsidRPr="009E5F3E">
        <w:rPr>
          <w:rFonts w:ascii="Verdana" w:eastAsia="Times New Roman" w:hAnsi="Verdana" w:cs="Times New Roman"/>
          <w:color w:val="EE0000"/>
          <w:sz w:val="24"/>
          <w:szCs w:val="24"/>
          <w:lang w:eastAsia="en-IN"/>
        </w:rPr>
        <w:t>With retail loans being linked to an external benchmark, any reduction in interest rate has led to higher growth in retail loans.</w:t>
      </w:r>
    </w:p>
    <w:p w14:paraId="0B2878C1"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9E5F3E">
        <w:rPr>
          <w:rFonts w:ascii="Verdana" w:eastAsia="Times New Roman" w:hAnsi="Verdana" w:cs="Times New Roman"/>
          <w:color w:val="000000"/>
          <w:sz w:val="24"/>
          <w:szCs w:val="24"/>
          <w:lang w:eastAsia="en-IN"/>
        </w:rPr>
        <w:t>While this is the historical context, the trends in the current year need to be examined. The 125-bps cut in repo so far this year has lowered the cost of all retail loans by a similar amount. There was an additional booster for consumption in the form of lower </w:t>
      </w:r>
      <w:hyperlink r:id="rId9" w:history="1">
        <w:r w:rsidRPr="009E5F3E">
          <w:rPr>
            <w:rFonts w:ascii="Verdana" w:eastAsia="Times New Roman" w:hAnsi="Verdana" w:cs="Times New Roman"/>
            <w:color w:val="0000FF"/>
            <w:sz w:val="24"/>
            <w:szCs w:val="24"/>
            <w:u w:val="single"/>
            <w:lang w:eastAsia="en-IN"/>
          </w:rPr>
          <w:t>goods and services tax (GST) rates</w:t>
        </w:r>
      </w:hyperlink>
      <w:r w:rsidRPr="009E5F3E">
        <w:rPr>
          <w:rFonts w:ascii="Verdana" w:eastAsia="Times New Roman" w:hAnsi="Verdana" w:cs="Times New Roman"/>
          <w:color w:val="000000"/>
          <w:sz w:val="24"/>
          <w:szCs w:val="24"/>
          <w:lang w:eastAsia="en-IN"/>
        </w:rPr>
        <w:t>. This did lead to retail loans increasing by almost 14% in October (12.9% last year). The interesting aspect here is that within this category, auto loans witnessed a higher growth rate, which matches well with the auto sales reported in the festival season and hence will also get reflected in the November numbers. There was, however, a slower growth for </w:t>
      </w:r>
      <w:hyperlink r:id="rId10" w:history="1">
        <w:r w:rsidRPr="009E5F3E">
          <w:rPr>
            <w:rFonts w:ascii="Verdana" w:eastAsia="Times New Roman" w:hAnsi="Verdana" w:cs="Times New Roman"/>
            <w:color w:val="0000FF"/>
            <w:sz w:val="24"/>
            <w:szCs w:val="24"/>
            <w:u w:val="single"/>
            <w:lang w:eastAsia="en-IN"/>
          </w:rPr>
          <w:t>home loans </w:t>
        </w:r>
      </w:hyperlink>
      <w:r w:rsidRPr="009E5F3E">
        <w:rPr>
          <w:rFonts w:ascii="Verdana" w:eastAsia="Times New Roman" w:hAnsi="Verdana" w:cs="Times New Roman"/>
          <w:color w:val="000000"/>
          <w:sz w:val="24"/>
          <w:szCs w:val="24"/>
          <w:lang w:eastAsia="en-IN"/>
        </w:rPr>
        <w:t>by around 100 bps. This calls for an explanation.</w:t>
      </w:r>
    </w:p>
    <w:p w14:paraId="2AAD3D5C" w14:textId="77777777" w:rsidR="009E5F3E" w:rsidRPr="009E5F3E" w:rsidRDefault="009E5F3E" w:rsidP="009E5F3E">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9E5F3E">
        <w:rPr>
          <w:rFonts w:ascii="Calibri" w:eastAsia="Times New Roman" w:hAnsi="Calibri" w:cs="Calibri"/>
          <w:color w:val="2E75B5"/>
          <w:sz w:val="27"/>
          <w:szCs w:val="27"/>
          <w:lang w:eastAsia="en-IN"/>
        </w:rPr>
        <w:t>Home vs auto loans-Rate cycle impact</w:t>
      </w:r>
    </w:p>
    <w:p w14:paraId="5317C392"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9E5F3E">
        <w:rPr>
          <w:rFonts w:ascii="Verdana" w:eastAsia="Times New Roman" w:hAnsi="Verdana" w:cs="Times New Roman"/>
          <w:color w:val="000000"/>
          <w:sz w:val="24"/>
          <w:szCs w:val="24"/>
          <w:lang w:eastAsia="en-IN"/>
        </w:rPr>
        <w:t xml:space="preserve">Any borrower whose interest rate is linked to an external benchmark </w:t>
      </w:r>
      <w:proofErr w:type="gramStart"/>
      <w:r w:rsidRPr="009E5F3E">
        <w:rPr>
          <w:rFonts w:ascii="Verdana" w:eastAsia="Times New Roman" w:hAnsi="Verdana" w:cs="Times New Roman"/>
          <w:color w:val="000000"/>
          <w:sz w:val="24"/>
          <w:szCs w:val="24"/>
          <w:lang w:eastAsia="en-IN"/>
        </w:rPr>
        <w:t>is aware of the fact that</w:t>
      </w:r>
      <w:proofErr w:type="gramEnd"/>
      <w:r w:rsidRPr="009E5F3E">
        <w:rPr>
          <w:rFonts w:ascii="Verdana" w:eastAsia="Times New Roman" w:hAnsi="Verdana" w:cs="Times New Roman"/>
          <w:color w:val="000000"/>
          <w:sz w:val="24"/>
          <w:szCs w:val="24"/>
          <w:lang w:eastAsia="en-IN"/>
        </w:rPr>
        <w:t xml:space="preserve"> interest would vary with the tenure of the loan. Hence, for a home loan, which is typically repaid in 10-30 years, there will be phases when the rates will go up and others when they go down. Therefore, the feeling of gaining while borrowing at a lower rate does not get converted to a “cost illusion”; which, however, does strike the borrower of a vehicle. Loans are of a lower tenure, say five-seven years, and the interest rate cycle is expected to normally last for two-three years. Thus, there may not be too many changes in the interest rate cycle during this tenure. This is why home loans would be driven more by other </w:t>
      </w:r>
      <w:r w:rsidRPr="009E5F3E">
        <w:rPr>
          <w:rFonts w:ascii="Verdana" w:eastAsia="Times New Roman" w:hAnsi="Verdana" w:cs="Times New Roman"/>
          <w:color w:val="000000"/>
          <w:sz w:val="24"/>
          <w:szCs w:val="24"/>
          <w:lang w:eastAsia="en-IN"/>
        </w:rPr>
        <w:lastRenderedPageBreak/>
        <w:t>factors too, such as cost of dwelling, future income streams, expectations of interest rate movements, etc.</w:t>
      </w:r>
    </w:p>
    <w:p w14:paraId="51B68703"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9E5F3E">
        <w:rPr>
          <w:rFonts w:ascii="Verdana" w:eastAsia="Times New Roman" w:hAnsi="Verdana" w:cs="Times New Roman"/>
          <w:color w:val="000000"/>
          <w:sz w:val="24"/>
          <w:szCs w:val="24"/>
          <w:lang w:eastAsia="en-IN"/>
        </w:rPr>
        <w:t>A loan category susceptible to the highest level of “cost illusion” is unsecured personal loans. Here, the rate of interest tends to be higher due to the absence of any collateral. Those who borrow through this channel have a pressing need, and they are willing to pay this cost. The illusion sets in when the rates are lowered, as there is a feeling that money is coming cheap.</w:t>
      </w:r>
    </w:p>
    <w:p w14:paraId="62666929"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EE0000"/>
          <w:sz w:val="24"/>
          <w:szCs w:val="24"/>
          <w:lang w:eastAsia="en-IN"/>
        </w:rPr>
      </w:pPr>
      <w:r w:rsidRPr="009E5F3E">
        <w:rPr>
          <w:rFonts w:ascii="Verdana" w:eastAsia="Times New Roman" w:hAnsi="Verdana" w:cs="Times New Roman"/>
          <w:color w:val="EE0000"/>
          <w:sz w:val="24"/>
          <w:szCs w:val="24"/>
          <w:lang w:eastAsia="en-IN"/>
        </w:rPr>
        <w:t xml:space="preserve">The big push given by the fiscal reforms on income tax and GST should hopefully increase demand and lead to better capacity utilisation as well as investment. </w:t>
      </w:r>
      <w:r w:rsidRPr="009E5F3E">
        <w:rPr>
          <w:rFonts w:ascii="Verdana" w:eastAsia="Times New Roman" w:hAnsi="Verdana" w:cs="Times New Roman"/>
          <w:color w:val="000000"/>
          <w:sz w:val="24"/>
          <w:szCs w:val="24"/>
          <w:lang w:eastAsia="en-IN"/>
        </w:rPr>
        <w:t>This should increase growth in credit to industry—especially large companies</w:t>
      </w:r>
      <w:r w:rsidRPr="009E5F3E">
        <w:rPr>
          <w:rFonts w:ascii="Verdana" w:eastAsia="Times New Roman" w:hAnsi="Verdana" w:cs="Times New Roman"/>
          <w:color w:val="EE0000"/>
          <w:sz w:val="24"/>
          <w:szCs w:val="24"/>
          <w:lang w:eastAsia="en-IN"/>
        </w:rPr>
        <w:t>. But for acceleration to take place, overall buoyancy in the economy would be required, which is expected in the next two-three years. Interest rates do affect growth in </w:t>
      </w:r>
      <w:proofErr w:type="gramStart"/>
      <w:r w:rsidRPr="009E5F3E">
        <w:rPr>
          <w:rFonts w:ascii="Verdana" w:eastAsia="Times New Roman" w:hAnsi="Verdana" w:cs="Times New Roman"/>
          <w:color w:val="EE0000"/>
          <w:sz w:val="24"/>
          <w:szCs w:val="24"/>
          <w:lang w:eastAsia="en-IN"/>
        </w:rPr>
        <w:t>credit, but</w:t>
      </w:r>
      <w:proofErr w:type="gramEnd"/>
      <w:r w:rsidRPr="009E5F3E">
        <w:rPr>
          <w:rFonts w:ascii="Verdana" w:eastAsia="Times New Roman" w:hAnsi="Verdana" w:cs="Times New Roman"/>
          <w:color w:val="EE0000"/>
          <w:sz w:val="24"/>
          <w:szCs w:val="24"/>
          <w:lang w:eastAsia="en-IN"/>
        </w:rPr>
        <w:t xml:space="preserve"> may not be the clinching factor as the demand for the end products—which can be machinery, automobile, home, or personal—</w:t>
      </w:r>
      <w:proofErr w:type="gramStart"/>
      <w:r w:rsidRPr="009E5F3E">
        <w:rPr>
          <w:rFonts w:ascii="Verdana" w:eastAsia="Times New Roman" w:hAnsi="Verdana" w:cs="Times New Roman"/>
          <w:color w:val="EE0000"/>
          <w:sz w:val="24"/>
          <w:szCs w:val="24"/>
          <w:lang w:eastAsia="en-IN"/>
        </w:rPr>
        <w:t>has to</w:t>
      </w:r>
      <w:proofErr w:type="gramEnd"/>
      <w:r w:rsidRPr="009E5F3E">
        <w:rPr>
          <w:rFonts w:ascii="Verdana" w:eastAsia="Times New Roman" w:hAnsi="Verdana" w:cs="Times New Roman"/>
          <w:color w:val="EE0000"/>
          <w:sz w:val="24"/>
          <w:szCs w:val="24"/>
          <w:lang w:eastAsia="en-IN"/>
        </w:rPr>
        <w:t xml:space="preserve"> be backed up by consumption.</w:t>
      </w:r>
    </w:p>
    <w:p w14:paraId="0DDD3964"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9E5F3E">
        <w:rPr>
          <w:rFonts w:ascii="Verdana" w:eastAsia="Times New Roman" w:hAnsi="Verdana" w:cs="Times New Roman"/>
          <w:b/>
          <w:bCs/>
          <w:i/>
          <w:iCs/>
          <w:color w:val="000000"/>
          <w:sz w:val="24"/>
          <w:szCs w:val="24"/>
          <w:lang w:eastAsia="en-IN"/>
        </w:rPr>
        <w:t>The author is Chief Economist, Bank of Baroda</w:t>
      </w:r>
    </w:p>
    <w:p w14:paraId="7AEF6F97" w14:textId="77777777" w:rsidR="009E5F3E" w:rsidRPr="009E5F3E" w:rsidRDefault="009E5F3E" w:rsidP="009E5F3E">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9E5F3E">
        <w:rPr>
          <w:rFonts w:ascii="Verdana" w:eastAsia="Times New Roman" w:hAnsi="Verdana" w:cs="Times New Roman"/>
          <w:b/>
          <w:bCs/>
          <w:i/>
          <w:iCs/>
          <w:color w:val="000000"/>
          <w:sz w:val="24"/>
          <w:szCs w:val="24"/>
          <w:lang w:eastAsia="en-IN"/>
        </w:rPr>
        <w:t>Views are personal</w:t>
      </w:r>
    </w:p>
    <w:p w14:paraId="20B23457" w14:textId="77777777" w:rsidR="00F779B5" w:rsidRDefault="00F779B5"/>
    <w:sectPr w:rsidR="00F779B5">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873D0" w14:textId="77777777" w:rsidR="000925FC" w:rsidRDefault="000925FC" w:rsidP="000925FC">
      <w:pPr>
        <w:spacing w:after="0" w:line="240" w:lineRule="auto"/>
      </w:pPr>
      <w:r>
        <w:separator/>
      </w:r>
    </w:p>
  </w:endnote>
  <w:endnote w:type="continuationSeparator" w:id="0">
    <w:p w14:paraId="30DDCDE8" w14:textId="77777777" w:rsidR="000925FC" w:rsidRDefault="000925FC" w:rsidP="000925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6A638" w14:textId="77777777" w:rsidR="000925FC" w:rsidRDefault="000925FC" w:rsidP="000925FC">
      <w:pPr>
        <w:spacing w:after="0" w:line="240" w:lineRule="auto"/>
      </w:pPr>
      <w:r>
        <w:separator/>
      </w:r>
    </w:p>
  </w:footnote>
  <w:footnote w:type="continuationSeparator" w:id="0">
    <w:p w14:paraId="7AFCD372" w14:textId="77777777" w:rsidR="000925FC" w:rsidRDefault="000925FC" w:rsidP="000925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8423819"/>
      <w:docPartObj>
        <w:docPartGallery w:val="Page Numbers (Top of Page)"/>
        <w:docPartUnique/>
      </w:docPartObj>
    </w:sdtPr>
    <w:sdtEndPr>
      <w:rPr>
        <w:noProof/>
      </w:rPr>
    </w:sdtEndPr>
    <w:sdtContent>
      <w:p w14:paraId="736369A3" w14:textId="5BAF3672" w:rsidR="000925FC" w:rsidRDefault="000925FC">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61027B76" w14:textId="77777777" w:rsidR="000925FC" w:rsidRDefault="000925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ocumentProtection w:formatting="1" w:enforcement="1" w:cryptProviderType="rsaAES" w:cryptAlgorithmClass="hash" w:cryptAlgorithmType="typeAny" w:cryptAlgorithmSid="14" w:cryptSpinCount="100000" w:hash="HPYnU8gxCUatqBnsJY3/vsrKMn+4jTPrToS1UaWly06FJFu8XBn8VDXhDbh+c5gob7KzsdnFeODjsrPXSQiv+A==" w:salt="4aKvvPKJOvPydpB1NJJe2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F3E"/>
    <w:rsid w:val="000568B9"/>
    <w:rsid w:val="000925FC"/>
    <w:rsid w:val="0043371A"/>
    <w:rsid w:val="005D7FC0"/>
    <w:rsid w:val="0063265B"/>
    <w:rsid w:val="006E46AE"/>
    <w:rsid w:val="009E5F3E"/>
    <w:rsid w:val="00A2136D"/>
    <w:rsid w:val="00B321D2"/>
    <w:rsid w:val="00C0567B"/>
    <w:rsid w:val="00C36755"/>
    <w:rsid w:val="00C60A97"/>
    <w:rsid w:val="00EC6FEB"/>
    <w:rsid w:val="00F05DC9"/>
    <w:rsid w:val="00F779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FE397"/>
  <w15:chartTrackingRefBased/>
  <w15:docId w15:val="{AA3EBADD-265A-4455-97FC-8E635615A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5F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5F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5F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5F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5F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5F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5F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5F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5F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5F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5F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5F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5F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5F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5F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5F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5F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5F3E"/>
    <w:rPr>
      <w:rFonts w:eastAsiaTheme="majorEastAsia" w:cstheme="majorBidi"/>
      <w:color w:val="272727" w:themeColor="text1" w:themeTint="D8"/>
    </w:rPr>
  </w:style>
  <w:style w:type="paragraph" w:styleId="Title">
    <w:name w:val="Title"/>
    <w:basedOn w:val="Normal"/>
    <w:next w:val="Normal"/>
    <w:link w:val="TitleChar"/>
    <w:uiPriority w:val="10"/>
    <w:qFormat/>
    <w:rsid w:val="009E5F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5F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5F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5F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5F3E"/>
    <w:pPr>
      <w:spacing w:before="160"/>
      <w:jc w:val="center"/>
    </w:pPr>
    <w:rPr>
      <w:i/>
      <w:iCs/>
      <w:color w:val="404040" w:themeColor="text1" w:themeTint="BF"/>
    </w:rPr>
  </w:style>
  <w:style w:type="character" w:customStyle="1" w:styleId="QuoteChar">
    <w:name w:val="Quote Char"/>
    <w:basedOn w:val="DefaultParagraphFont"/>
    <w:link w:val="Quote"/>
    <w:uiPriority w:val="29"/>
    <w:rsid w:val="009E5F3E"/>
    <w:rPr>
      <w:i/>
      <w:iCs/>
      <w:color w:val="404040" w:themeColor="text1" w:themeTint="BF"/>
    </w:rPr>
  </w:style>
  <w:style w:type="paragraph" w:styleId="ListParagraph">
    <w:name w:val="List Paragraph"/>
    <w:basedOn w:val="Normal"/>
    <w:uiPriority w:val="34"/>
    <w:qFormat/>
    <w:rsid w:val="009E5F3E"/>
    <w:pPr>
      <w:ind w:left="720"/>
      <w:contextualSpacing/>
    </w:pPr>
  </w:style>
  <w:style w:type="character" w:styleId="IntenseEmphasis">
    <w:name w:val="Intense Emphasis"/>
    <w:basedOn w:val="DefaultParagraphFont"/>
    <w:uiPriority w:val="21"/>
    <w:qFormat/>
    <w:rsid w:val="009E5F3E"/>
    <w:rPr>
      <w:i/>
      <w:iCs/>
      <w:color w:val="0F4761" w:themeColor="accent1" w:themeShade="BF"/>
    </w:rPr>
  </w:style>
  <w:style w:type="paragraph" w:styleId="IntenseQuote">
    <w:name w:val="Intense Quote"/>
    <w:basedOn w:val="Normal"/>
    <w:next w:val="Normal"/>
    <w:link w:val="IntenseQuoteChar"/>
    <w:uiPriority w:val="30"/>
    <w:qFormat/>
    <w:rsid w:val="009E5F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5F3E"/>
    <w:rPr>
      <w:i/>
      <w:iCs/>
      <w:color w:val="0F4761" w:themeColor="accent1" w:themeShade="BF"/>
    </w:rPr>
  </w:style>
  <w:style w:type="character" w:styleId="IntenseReference">
    <w:name w:val="Intense Reference"/>
    <w:basedOn w:val="DefaultParagraphFont"/>
    <w:uiPriority w:val="32"/>
    <w:qFormat/>
    <w:rsid w:val="009E5F3E"/>
    <w:rPr>
      <w:b/>
      <w:bCs/>
      <w:smallCaps/>
      <w:color w:val="0F4761" w:themeColor="accent1" w:themeShade="BF"/>
      <w:spacing w:val="5"/>
    </w:rPr>
  </w:style>
  <w:style w:type="paragraph" w:styleId="Header">
    <w:name w:val="header"/>
    <w:basedOn w:val="Normal"/>
    <w:link w:val="HeaderChar"/>
    <w:uiPriority w:val="99"/>
    <w:unhideWhenUsed/>
    <w:rsid w:val="000925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5FC"/>
  </w:style>
  <w:style w:type="paragraph" w:styleId="Footer">
    <w:name w:val="footer"/>
    <w:basedOn w:val="Normal"/>
    <w:link w:val="FooterChar"/>
    <w:uiPriority w:val="99"/>
    <w:unhideWhenUsed/>
    <w:rsid w:val="000925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5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inancialexpress.com/business/economy-explained/why-debt-funds-didnt-rally-in-2025-and-will-2026-be-any-different/4085607/"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financialexpress.com/policy/economy-rbi-mpc-meeting-december-2025-live-updates-repo-rate-decision-sanjay-malhotra-4065823/"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inancialexpress.com/opinion/lower-repo-rate-link-to-lending/4085730/"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www.financialexpress.com/money/sbis-home-loan-book-set-to-cross-rs-10-lakh-crore-next-fiscal-says-chairman-cs-setty-4084111/" TargetMode="External"/><Relationship Id="rId4" Type="http://schemas.openxmlformats.org/officeDocument/2006/relationships/footnotes" Target="footnotes.xml"/><Relationship Id="rId9" Type="http://schemas.openxmlformats.org/officeDocument/2006/relationships/hyperlink" Target="https://www.financialexpress.com/business/industry-new-gst-rates-2025-26-75-faqs-answered-full-text-here-39663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1055</Words>
  <Characters>6019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11</cp:revision>
  <dcterms:created xsi:type="dcterms:W3CDTF">2025-12-23T13:40:00Z</dcterms:created>
  <dcterms:modified xsi:type="dcterms:W3CDTF">2025-12-23T13:51:00Z</dcterms:modified>
</cp:coreProperties>
</file>